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3093"/>
        <w:gridCol w:w="5950"/>
      </w:tblGrid>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mc:AlternateContent>
                <mc:Choice Requires="wps">
                  <w:drawing>
                    <wp:anchor behindDoc="0" distT="0" distB="0" distL="0" distR="0" simplePos="0" locked="0" layoutInCell="1" allowOverlap="1" relativeHeight="3">
                      <wp:simplePos x="0" y="0"/>
                      <wp:positionH relativeFrom="column">
                        <wp:posOffset>-64770</wp:posOffset>
                      </wp:positionH>
                      <wp:positionV relativeFrom="paragraph">
                        <wp:posOffset>-770890</wp:posOffset>
                      </wp:positionV>
                      <wp:extent cx="5753100" cy="1239520"/>
                      <wp:effectExtent l="0" t="0" r="0" b="0"/>
                      <wp:wrapNone/>
                      <wp:docPr id="1" name="Shape1"/>
                      <a:graphic xmlns:a="http://schemas.openxmlformats.org/drawingml/2006/main">
                        <a:graphicData uri="http://schemas.microsoft.com/office/word/2010/wordprocessingShape">
                          <wps:wsp>
                            <wps:cNvSpPr/>
                            <wps:spPr>
                              <a:xfrm>
                                <a:off x="0" y="0"/>
                                <a:ext cx="575244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 xml:space="preserve">DO NOT RELY ON PDF VIEWING SOFTWARE TO DETERMINE THE VALIDITY OF THE DIGITAL SIGNATURES FORMING PART OF THIS DUPLICATE e-ORIGINAL. </w:t>
                                  </w:r>
                                  <w:r>
                                    <w:rPr>
                                      <w:rFonts w:eastAsia="Calibri" w:cs="" w:ascii="DejaVu Serif" w:hAnsi="DejaVu Serif" w:cstheme="minorBidi" w:eastAsiaTheme="minorHAnsi"/>
                                      <w:b/>
                                      <w:bCs/>
                                      <w:color w:val="000000"/>
                                      <w:kern w:val="0"/>
                                      <w:sz w:val="16"/>
                                      <w:szCs w:val="16"/>
                                      <w:lang w:val="en-US" w:eastAsia="ja-JP" w:bidi="ar-SA"/>
                                    </w:rPr>
                                    <w:t>Due</w:t>
                                  </w:r>
                                  <w:r>
                                    <w:rPr>
                                      <w:rFonts w:eastAsia="Calibri" w:cs="" w:ascii="DejaVu Serif" w:hAnsi="DejaVu Serif" w:cstheme="minorBidi" w:eastAsiaTheme="minorHAnsi"/>
                                      <w:b/>
                                      <w:bCs/>
                                      <w:color w:val="000000"/>
                                      <w:sz w:val="16"/>
                                      <w:szCs w:val="16"/>
                                    </w:rPr>
                                    <w:t xml:space="preserve"> of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xml:space="preserve">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1pt;margin-top:-60.7pt;width:452.9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 xml:space="preserve">DO NOT RELY ON PDF VIEWING SOFTWARE TO DETERMINE THE VALIDITY OF THE DIGITAL SIGNATURES FORMING PART OF THIS DUPLICATE e-ORIGINAL. </w:t>
                            </w:r>
                            <w:r>
                              <w:rPr>
                                <w:rFonts w:eastAsia="Calibri" w:cs="" w:ascii="DejaVu Serif" w:hAnsi="DejaVu Serif" w:cstheme="minorBidi" w:eastAsiaTheme="minorHAnsi"/>
                                <w:b/>
                                <w:bCs/>
                                <w:color w:val="000000"/>
                                <w:kern w:val="0"/>
                                <w:sz w:val="16"/>
                                <w:szCs w:val="16"/>
                                <w:lang w:val="en-US" w:eastAsia="ja-JP" w:bidi="ar-SA"/>
                              </w:rPr>
                              <w:t>Due</w:t>
                            </w:r>
                            <w:r>
                              <w:rPr>
                                <w:rFonts w:eastAsia="Calibri" w:cs="" w:ascii="DejaVu Serif" w:hAnsi="DejaVu Serif" w:cstheme="minorBidi" w:eastAsiaTheme="minorHAnsi"/>
                                <w:b/>
                                <w:bCs/>
                                <w:color w:val="000000"/>
                                <w:sz w:val="16"/>
                                <w:szCs w:val="16"/>
                              </w:rPr>
                              <w:t xml:space="preserve"> of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xml:space="preserve">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tc>
      </w:tr>
      <w:tr>
        <w:trPr/>
        <w:tc>
          <w:tcPr>
            <w:tcW w:w="9043" w:type="dxa"/>
            <w:gridSpan w:val="2"/>
            <w:tcBorders>
              <w:top w:val="nil"/>
              <w:left w:val="nil"/>
              <w:bottom w:val="nil"/>
              <w:right w:val="nil"/>
            </w:tcBorders>
            <w:shd w:fill="auto" w:val="clear"/>
          </w:tcPr>
          <w:p>
            <w:pPr>
              <w:pStyle w:val="AWGBodyText"/>
              <w:spacing w:lineRule="auto" w:line="240" w:before="57" w:after="57"/>
              <w:jc w:val="center"/>
              <w:rPr/>
            </w:pPr>
            <w:r>
              <w:rPr/>
            </w:r>
          </w:p>
          <w:p>
            <w:pPr>
              <w:pStyle w:val="AWGBodyText"/>
              <w:spacing w:lineRule="auto" w:line="240" w:before="57" w:after="57"/>
              <w:jc w:val="center"/>
              <w:rPr/>
            </w:pPr>
            <w:r>
              <w:rPr/>
            </w:r>
          </w:p>
          <w:p>
            <w:pPr>
              <w:pStyle w:val="AWGBodyText"/>
              <w:spacing w:lineRule="auto" w:line="240" w:before="57" w:after="57"/>
              <w:jc w:val="center"/>
              <w:rPr/>
            </w:pPr>
            <w:r>
              <w:rPr/>
              <w:drawing>
                <wp:inline distT="0" distB="0" distL="0" distR="0">
                  <wp:extent cx="2171700" cy="94043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94043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3888105</wp:posOffset>
                      </wp:positionH>
                      <wp:positionV relativeFrom="paragraph">
                        <wp:posOffset>226695</wp:posOffset>
                      </wp:positionV>
                      <wp:extent cx="259080" cy="182880"/>
                      <wp:effectExtent l="0" t="0" r="9525" b="9525"/>
                      <wp:wrapNone/>
                      <wp:docPr id="3" name="Text Box 3"/>
                      <a:graphic xmlns:a="http://schemas.openxmlformats.org/drawingml/2006/main">
                        <a:graphicData uri="http://schemas.microsoft.com/office/word/2010/wordprocessingShape">
                          <wps:wsp>
                            <wps:cNvSpPr/>
                            <wps:spPr>
                              <a:xfrm>
                                <a:off x="0" y="0"/>
                                <a:ext cx="258480" cy="182160"/>
                              </a:xfrm>
                              <a:prstGeom prst="rect">
                                <a:avLst/>
                              </a:prstGeom>
                              <a:noFill/>
                              <a:ln w="6480">
                                <a:noFill/>
                              </a:ln>
                            </wps:spPr>
                            <wps:style>
                              <a:lnRef idx="0"/>
                              <a:fillRef idx="0"/>
                              <a:effectRef idx="0"/>
                              <a:fontRef idx="minor"/>
                            </wps:style>
                            <wps:txb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06.15pt;margin-top:17.85pt;width:20.3pt;height:14.3pt" wp14:anchorId="4AE2B000">
                      <w10:wrap type="square"/>
                      <v:fill o:detectmouseclick="t" on="false"/>
                      <v:stroke color="#3465a4" weight="6480" joinstyle="round" endcap="flat"/>
                      <v:textbo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w:t>
                            </w:r>
                          </w:p>
                        </w:txbxContent>
                      </v:textbox>
                    </v:rect>
                  </w:pict>
                </mc:Fallback>
              </mc:AlternateConten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eastAsia="en-US"/>
              </w:rPr>
            </w:pPr>
            <w:r>
              <w:rPr>
                <w:lang w:eastAsia="en-US"/>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b/>
                <w:color w:val="000000" w:themeColor="text1"/>
                <w:sz w:val="32"/>
                <w:szCs w:val="32"/>
              </w:rPr>
              <w:t>GATS Security Transfer Instrument</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rPr>
            </w:pPr>
            <w:r>
              <w:rPr>
                <w:b/>
                <w:color w:val="000000" w:themeColor="text1"/>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b/>
                <w:color w:val="000000" w:themeColor="text1"/>
              </w:rPr>
              <w:t>IRISH TRUST BRANCH</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rPr>
            </w:pPr>
            <w:r>
              <w:rPr>
                <w:b/>
                <w:color w:val="000000" w:themeColor="text1"/>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b/>
                <w:color w:val="000000" w:themeColor="text1"/>
              </w:rPr>
              <w:t>EXECUTED AND DELIVERED AS A DEED</w:t>
            </w:r>
          </w:p>
        </w:tc>
      </w:tr>
      <w:tr>
        <w:trPr/>
        <w:tc>
          <w:tcPr>
            <w:tcW w:w="9043" w:type="dxa"/>
            <w:gridSpan w:val="2"/>
            <w:tcBorders>
              <w:top w:val="nil"/>
              <w:left w:val="nil"/>
              <w:right w:val="nil"/>
            </w:tcBorders>
            <w:shd w:fill="auto" w:val="clear"/>
          </w:tcPr>
          <w:p>
            <w:pPr>
              <w:pStyle w:val="AWGBodyText"/>
              <w:spacing w:lineRule="auto" w:line="240" w:before="0" w:after="0"/>
              <w:rPr>
                <w:rFonts w:ascii="DejaVu Serif" w:hAnsi="DejaVu Serif"/>
              </w:rPr>
            </w:pPr>
            <w:r>
              <w:rPr/>
            </w:r>
          </w:p>
        </w:tc>
      </w:tr>
      <w:tr>
        <w:trPr/>
        <w:tc>
          <w:tcPr>
            <w:tcW w:w="9043" w:type="dxa"/>
            <w:gridSpan w:val="2"/>
            <w:tcBorders>
              <w:left w:val="nil"/>
              <w:bottom w:val="nil"/>
              <w:right w:val="nil"/>
            </w:tcBorders>
            <w:shd w:fill="auto" w:val="clear"/>
          </w:tcPr>
          <w:p>
            <w:pPr>
              <w:pStyle w:val="AWGBodyText"/>
              <w:spacing w:lineRule="auto" w:line="240" w:before="0" w:after="0"/>
              <w:rPr>
                <w:rFonts w:ascii="DejaVu Serif" w:hAnsi="DejaVu Serif"/>
              </w:rPr>
            </w:pPr>
            <w:r>
              <w:rPr/>
            </w:r>
          </w:p>
        </w:tc>
      </w:tr>
      <w:tr>
        <w:trPr/>
        <w:tc>
          <w:tcPr>
            <w:tcW w:w="3093"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b/>
                <w:color w:val="000000" w:themeColor="text1"/>
              </w:rPr>
              <w:t>Trust Branch:</w:t>
            </w:r>
          </w:p>
        </w:tc>
        <w:tc>
          <w:tcPr>
            <w:tcW w:w="5950" w:type="dxa"/>
            <w:tcBorders>
              <w:top w:val="nil"/>
              <w:left w:val="single" w:sz="2" w:space="0" w:color="000000"/>
              <w:bottom w:val="nil"/>
              <w:right w:val="nil"/>
            </w:tcBorders>
            <w:shd w:fill="auto" w:val="clear"/>
          </w:tcPr>
          <w:p>
            <w:pPr>
              <w:pStyle w:val="AWGBodyText"/>
              <w:spacing w:lineRule="auto" w:line="240" w:before="0" w:after="0"/>
              <w:rPr>
                <w:rFonts w:ascii="DejaVu Serif" w:hAnsi="DejaVu Serif"/>
              </w:rPr>
            </w:pPr>
            <w:r>
              <w:rPr/>
              <w:t>Ireland (IE)</w:t>
            </w:r>
          </w:p>
        </w:tc>
      </w:tr>
      <w:tr>
        <w:trPr/>
        <w:tc>
          <w:tcPr>
            <w:tcW w:w="3093"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b/>
                <w:color w:val="000000" w:themeColor="text1"/>
              </w:rPr>
              <w:t>Trust UIN:</w:t>
            </w:r>
          </w:p>
        </w:tc>
        <w:tc>
          <w:tcPr>
            <w:tcW w:w="5950" w:type="dxa"/>
            <w:tcBorders>
              <w:top w:val="nil"/>
              <w:left w:val="single" w:sz="2" w:space="0" w:color="000000"/>
              <w:bottom w:val="nil"/>
              <w:right w:val="nil"/>
            </w:tcBorders>
            <w:shd w:fill="auto" w:val="clear"/>
          </w:tcPr>
          <w:p>
            <w:pPr>
              <w:pStyle w:val="AWGBodyText"/>
              <w:spacing w:lineRule="auto" w:line="240" w:before="0" w:after="0"/>
              <w:rPr>
                <w:rFonts w:ascii="DejaVu Serif" w:hAnsi="DejaVu Serif"/>
              </w:rPr>
            </w:pPr>
            <w:r>
              <w:rPr>
                <w:color w:val="000000"/>
                <w:sz w:val="18"/>
                <w:lang w:val="en-US"/>
              </w:rPr>
              <w:t>${trust.</w:t>
            </w:r>
            <w:r>
              <w:rPr>
                <w:rFonts w:eastAsia="Calibri" w:cs=""/>
                <w:color w:val="000000"/>
                <w:kern w:val="0"/>
                <w:sz w:val="18"/>
                <w:szCs w:val="20"/>
                <w:lang w:val="en-US" w:eastAsia="ja-JP" w:bidi="ar-SA"/>
              </w:rPr>
              <w:t>uin</w:t>
            </w:r>
            <w:r>
              <w:rPr>
                <w:color w:val="000000"/>
                <w:sz w:val="18"/>
                <w:lang w:val="en-US"/>
              </w:rPr>
              <w:t>}</w:t>
            </w:r>
          </w:p>
        </w:tc>
      </w:tr>
      <w:tr>
        <w:trPr/>
        <w:tc>
          <w:tcPr>
            <w:tcW w:w="3093" w:type="dxa"/>
            <w:tcBorders>
              <w:top w:val="nil"/>
              <w:left w:val="nil"/>
              <w:bottom w:val="nil"/>
              <w:right w:val="nil"/>
            </w:tcBorders>
            <w:shd w:fill="auto" w:val="clear"/>
          </w:tcPr>
          <w:p>
            <w:pPr>
              <w:pStyle w:val="AWGBodyText"/>
              <w:spacing w:lineRule="auto" w:line="240" w:before="0" w:after="0"/>
              <w:jc w:val="right"/>
              <w:rPr>
                <w:b/>
                <w:b/>
              </w:rPr>
            </w:pPr>
            <w:r>
              <w:rPr>
                <w:b/>
              </w:rPr>
              <w:t>Name of Trust:</w:t>
            </w:r>
          </w:p>
        </w:tc>
        <w:tc>
          <w:tcPr>
            <w:tcW w:w="5950" w:type="dxa"/>
            <w:tcBorders>
              <w:top w:val="nil"/>
              <w:left w:val="single" w:sz="2" w:space="0" w:color="000000"/>
              <w:bottom w:val="nil"/>
              <w:right w:val="nil"/>
            </w:tcBorders>
            <w:shd w:fill="auto" w:val="clear"/>
          </w:tcPr>
          <w:p>
            <w:pPr>
              <w:pStyle w:val="AWGBodyText"/>
              <w:spacing w:lineRule="auto" w:line="240" w:before="0" w:after="0"/>
              <w:rPr>
                <w:rFonts w:ascii="DejaVu Serif" w:hAnsi="DejaVu Serif"/>
              </w:rPr>
            </w:pPr>
            <w:r>
              <w:rPr>
                <w:color w:val="000000"/>
                <w:lang w:val="en-US"/>
              </w:rPr>
              <w:t>${trust.name}</w:t>
            </w:r>
          </w:p>
        </w:tc>
      </w:tr>
      <w:tr>
        <w:trPr/>
        <w:tc>
          <w:tcPr>
            <w:tcW w:w="3093" w:type="dxa"/>
            <w:tcBorders>
              <w:top w:val="nil"/>
              <w:left w:val="nil"/>
              <w:bottom w:val="nil"/>
              <w:right w:val="nil"/>
            </w:tcBorders>
            <w:shd w:fill="auto" w:val="clear"/>
          </w:tcPr>
          <w:p>
            <w:pPr>
              <w:pStyle w:val="AWGBodyText"/>
              <w:spacing w:lineRule="auto" w:line="240" w:before="0" w:after="0"/>
              <w:jc w:val="right"/>
              <w:rPr>
                <w:b/>
                <w:b/>
              </w:rPr>
            </w:pPr>
            <w:r>
              <w:rPr>
                <w:b/>
              </w:rPr>
              <w:t>Effective Time:</w:t>
            </w:r>
          </w:p>
        </w:tc>
        <w:tc>
          <w:tcPr>
            <w:tcW w:w="5950" w:type="dxa"/>
            <w:tcBorders>
              <w:top w:val="nil"/>
              <w:left w:val="single" w:sz="2" w:space="0" w:color="000000"/>
              <w:bottom w:val="nil"/>
              <w:right w:val="nil"/>
            </w:tcBorders>
            <w:shd w:fill="auto" w:val="clear"/>
          </w:tcPr>
          <w:p>
            <w:pPr>
              <w:pStyle w:val="AWGBodyText"/>
              <w:spacing w:lineRule="auto" w:line="240" w:before="0" w:after="0"/>
              <w:rPr>
                <w:rFonts w:ascii="DejaVu Serif" w:hAnsi="DejaVu Serif"/>
                <w:color w:val="FFFFFF"/>
              </w:rPr>
            </w:pPr>
            <w:r>
              <w:rPr>
                <w:color w:val="FFFFFF"/>
                <w:lang w:val="en-US"/>
              </w:rPr>
              <w:t>${sealSignature}</w:t>
            </w:r>
          </w:p>
        </w:tc>
      </w:tr>
      <w:tr>
        <w:trPr/>
        <w:tc>
          <w:tcPr>
            <w:tcW w:w="3093" w:type="dxa"/>
            <w:tcBorders>
              <w:top w:val="nil"/>
              <w:left w:val="nil"/>
              <w:right w:val="nil"/>
            </w:tcBorders>
            <w:shd w:fill="auto" w:val="clear"/>
          </w:tcPr>
          <w:p>
            <w:pPr>
              <w:pStyle w:val="AWGBodyText"/>
              <w:spacing w:lineRule="auto" w:line="240" w:before="0" w:after="0"/>
              <w:jc w:val="right"/>
              <w:rPr>
                <w:rFonts w:ascii="DejaVu Serif" w:hAnsi="DejaVu Serif"/>
                <w:b/>
                <w:b/>
              </w:rPr>
            </w:pPr>
            <w:r>
              <w:rPr>
                <w:b/>
              </w:rPr>
            </w:r>
          </w:p>
        </w:tc>
        <w:tc>
          <w:tcPr>
            <w:tcW w:w="5950" w:type="dxa"/>
            <w:tcBorders>
              <w:top w:val="nil"/>
              <w:left w:val="nil"/>
              <w:right w:val="nil"/>
            </w:tcBorders>
            <w:shd w:fill="auto" w:val="clear"/>
          </w:tcPr>
          <w:p>
            <w:pPr>
              <w:pStyle w:val="AWGBodyText"/>
              <w:spacing w:lineRule="auto" w:line="240" w:before="0" w:after="0"/>
              <w:rPr>
                <w:rFonts w:ascii="DejaVu Serif" w:hAnsi="DejaVu Serif"/>
              </w:rPr>
            </w:pPr>
            <w:r>
              <w:rPr/>
            </w:r>
          </w:p>
        </w:tc>
      </w:tr>
    </w:tbl>
    <w:p>
      <w:pPr>
        <w:pStyle w:val="AWGBodyText"/>
        <w:rPr>
          <w:rFonts w:ascii="DejaVu Serif" w:hAnsi="DejaVu Serif"/>
          <w:b/>
          <w:b/>
        </w:rPr>
      </w:pPr>
      <w:r>
        <w:rPr>
          <w:b/>
        </w:rPr>
      </w:r>
    </w:p>
    <w:p>
      <w:pPr>
        <w:pStyle w:val="AWGBodyText"/>
        <w:rPr>
          <w:rFonts w:ascii="DejaVu Serif" w:hAnsi="DejaVu Serif"/>
        </w:rPr>
      </w:pPr>
      <w:r>
        <w:rPr>
          <w:b/>
        </w:rPr>
        <w:t xml:space="preserve">THIS GATS SECURITY TRANSFER INSTRUMENT </w:t>
      </w:r>
      <w:r>
        <w:rPr/>
        <w:t xml:space="preserve">is dated </w:t>
      </w:r>
      <w:bookmarkStart w:id="0" w:name="_Hlk27051095"/>
      <w:r>
        <w:rPr/>
        <w:t>the date on which the Effective Time occurred</w:t>
      </w:r>
      <w:bookmarkEnd w:id="0"/>
      <w:r>
        <w:rPr/>
        <w:t xml:space="preserve"> (this </w:t>
      </w:r>
      <w:r>
        <w:rPr>
          <w:b/>
        </w:rPr>
        <w:t>Instrument</w:t>
      </w:r>
      <w:r>
        <w:rPr/>
        <w:t>)</w:t>
      </w:r>
    </w:p>
    <w:p>
      <w:pPr>
        <w:pStyle w:val="AWGBodyText"/>
        <w:rPr>
          <w:b/>
          <w:b/>
        </w:rPr>
      </w:pPr>
      <w:r>
        <w:rPr>
          <w:b/>
        </w:rPr>
        <w:t>BETWEEN</w:t>
      </w:r>
    </w:p>
    <w:p>
      <w:pPr>
        <w:pStyle w:val="AWGParties"/>
        <w:numPr>
          <w:ilvl w:val="0"/>
          <w:numId w:val="2"/>
        </w:numPr>
        <w:rPr>
          <w:rFonts w:ascii="DejaVu Serif" w:hAnsi="DejaVu Serif"/>
        </w:rPr>
      </w:pPr>
      <w:r>
        <w:rPr/>
        <w:t>the EXISTING SECURED PARTY from time to time, as amended from time to time prior to the effectiveness of this Instrument; and</w:t>
      </w:r>
    </w:p>
    <w:p>
      <w:pPr>
        <w:pStyle w:val="AWGParties"/>
        <w:numPr>
          <w:ilvl w:val="0"/>
          <w:numId w:val="2"/>
        </w:numPr>
        <w:rPr/>
      </w:pPr>
      <w:r>
        <w:rPr/>
        <w:t xml:space="preserve">the NEW SECURED PARTY from time to time, acting in the capacity as indicated in </w:t>
      </w:r>
      <w:bookmarkStart w:id="1" w:name="__DdeLink__869_1644456949"/>
      <w:r>
        <w:rPr/>
        <w:t>Schedule</w:t>
      </w:r>
      <w:bookmarkEnd w:id="1"/>
      <w:r>
        <w:rPr/>
        <w:t xml:space="preserve"> 2 (</w:t>
      </w:r>
      <w:r>
        <w:rPr>
          <w:i/>
        </w:rPr>
        <w:t>Party Details</w:t>
      </w:r>
      <w:r>
        <w:rPr/>
        <w:t>).</w:t>
      </w:r>
    </w:p>
    <w:p>
      <w:pPr>
        <w:pStyle w:val="AWGParties"/>
        <w:numPr>
          <w:ilvl w:val="0"/>
          <w:numId w:val="0"/>
        </w:numPr>
        <w:ind w:left="720" w:hanging="720"/>
        <w:rPr/>
      </w:pPr>
      <w:r>
        <w:rPr>
          <w:b/>
        </w:rPr>
        <w:t>IT IS AGREED AS FOLLOWS</w:t>
      </w:r>
      <w:r>
        <w:rPr/>
        <w:t>:</w:t>
      </w:r>
    </w:p>
    <w:p>
      <w:pPr>
        <w:pStyle w:val="Normal"/>
        <w:rPr/>
      </w:pPr>
      <w:r>
        <w:rPr/>
      </w:r>
    </w:p>
    <w:p>
      <w:pPr>
        <w:sectPr>
          <w:headerReference w:type="default" r:id="rId3"/>
          <w:footerReference w:type="default" r:id="rId4"/>
          <w:footerReference w:type="first" r:id="rId5"/>
          <w:type w:val="nextPage"/>
          <w:pgSz w:w="11906" w:h="16838"/>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5"/>
        </w:numPr>
        <w:rPr/>
      </w:pPr>
      <w:bookmarkStart w:id="4" w:name="_Toc525847168"/>
      <w:r>
        <w:rPr>
          <w:rFonts w:ascii="DejaVu Serif" w:hAnsi="DejaVu Serif"/>
        </w:rPr>
        <w:t>Definition</w:t>
      </w:r>
      <w:bookmarkEnd w:id="4"/>
      <w:r>
        <w:rPr>
          <w:rFonts w:ascii="DejaVu Serif" w:hAnsi="DejaVu Serif"/>
        </w:rPr>
        <w:t>s</w:t>
      </w:r>
    </w:p>
    <w:p>
      <w:pPr>
        <w:pStyle w:val="AWGBodyText2C"/>
        <w:rPr>
          <w:rFonts w:ascii="DejaVu Serif" w:hAnsi="DejaVu Serif"/>
        </w:rPr>
      </w:pPr>
      <w:bookmarkStart w:id="5" w:name="_Ref525842536"/>
      <w:r>
        <w:rPr>
          <w:rFonts w:ascii="DejaVu Serif" w:hAnsi="DejaVu Serif"/>
        </w:rPr>
        <w:t>Unless otherwise defined in this Instrument, capitalised terms used in this Instrument have the meaning given to them in the GATS Security Instrument (including those incorporated by reference to the Master Terms). In this Instrument, unless the contrary intention appears:</w:t>
      </w:r>
    </w:p>
    <w:p>
      <w:pPr>
        <w:pStyle w:val="AWGDef2C"/>
        <w:numPr>
          <w:ilvl w:val="0"/>
          <w:numId w:val="4"/>
        </w:numPr>
        <w:rPr/>
      </w:pPr>
      <w:r>
        <w:rPr>
          <w:rFonts w:ascii="DejaVu Serif" w:hAnsi="DejaVu Serif"/>
          <w:b/>
        </w:rPr>
        <w:t xml:space="preserve">Beneficiary </w:t>
      </w:r>
      <w:r>
        <w:rPr>
          <w:rFonts w:ascii="DejaVu Serif" w:hAnsi="DejaVu Serif"/>
        </w:rPr>
        <w:t>means the person identified as the ‘Beneficiary’ in Schedule 2 (</w:t>
      </w:r>
      <w:r>
        <w:rPr>
          <w:rFonts w:ascii="DejaVu Serif" w:hAnsi="DejaVu Serif"/>
          <w:i/>
        </w:rPr>
        <w:t>Party Details</w:t>
      </w:r>
      <w:r>
        <w:rPr>
          <w:rFonts w:ascii="DejaVu Serif" w:hAnsi="DejaVu Serif"/>
        </w:rPr>
        <w:t>).</w:t>
      </w:r>
    </w:p>
    <w:p>
      <w:pPr>
        <w:pStyle w:val="AWGDef2C"/>
        <w:numPr>
          <w:ilvl w:val="0"/>
          <w:numId w:val="4"/>
        </w:numPr>
        <w:rPr>
          <w:rFonts w:ascii="DejaVu Serif" w:hAnsi="DejaVu Serif"/>
        </w:rPr>
      </w:pPr>
      <w:r>
        <w:rPr>
          <w:rFonts w:ascii="DejaVu Serif" w:hAnsi="DejaVu Serif"/>
          <w:b/>
        </w:rPr>
        <w:t>Dispute</w:t>
      </w:r>
      <w:r>
        <w:rPr>
          <w:rFonts w:ascii="DejaVu Serif" w:hAnsi="DejaVu Serif"/>
        </w:rPr>
        <w:t xml:space="preserve"> means any suit, action, proceedings and/or any dispute or difference which may arise out of or in connection with or which may relate in any way to this Instrument or any dispute arising out of any non-contractual obligations of any nature (including those to which Regulation (EC) No. 864/2007 applies) arising between the parties or any of them.</w:t>
      </w:r>
    </w:p>
    <w:p>
      <w:pPr>
        <w:pStyle w:val="AWGDef2C"/>
        <w:numPr>
          <w:ilvl w:val="0"/>
          <w:numId w:val="4"/>
        </w:numPr>
        <w:rPr>
          <w:rFonts w:ascii="DejaVu Serif" w:hAnsi="DejaVu Serif"/>
        </w:rPr>
      </w:pPr>
      <w:r>
        <w:rPr>
          <w:rFonts w:ascii="DejaVu Serif" w:hAnsi="DejaVu Serif"/>
          <w:b/>
        </w:rPr>
        <w:t>Effective Time</w:t>
      </w:r>
      <w:r>
        <w:rPr>
          <w:rFonts w:ascii="DejaVu Serif" w:hAnsi="DejaVu Serif"/>
        </w:rPr>
        <w:t xml:space="preserve"> means date and time at which this Instrument is executed and delivered, as described on the cover page of this Instrument.</w:t>
      </w:r>
      <w:bookmarkStart w:id="6" w:name="_Hlk535259818"/>
      <w:bookmarkEnd w:id="6"/>
    </w:p>
    <w:p>
      <w:pPr>
        <w:pStyle w:val="AWGDef2C"/>
        <w:numPr>
          <w:ilvl w:val="0"/>
          <w:numId w:val="4"/>
        </w:numPr>
        <w:rPr/>
      </w:pPr>
      <w:r>
        <w:rPr>
          <w:rFonts w:ascii="DejaVu Serif" w:hAnsi="DejaVu Serif"/>
          <w:b/>
        </w:rPr>
        <w:t>Existing Secured Party</w:t>
      </w:r>
      <w:r>
        <w:rPr>
          <w:rFonts w:ascii="DejaVu Serif" w:hAnsi="DejaVu Serif"/>
        </w:rPr>
        <w:t xml:space="preserve"> means the person identified as the ‘Existing Secured Party’ in Schedule 2 (</w:t>
      </w:r>
      <w:r>
        <w:rPr>
          <w:rFonts w:ascii="DejaVu Serif" w:hAnsi="DejaVu Serif"/>
          <w:i/>
        </w:rPr>
        <w:t>Party Details</w:t>
      </w:r>
      <w:r>
        <w:rPr>
          <w:rFonts w:ascii="DejaVu Serif" w:hAnsi="DejaVu Serif"/>
        </w:rPr>
        <w:t>), acting in the capacity as indicated in the GATS Security Instrument.</w:t>
      </w:r>
    </w:p>
    <w:p>
      <w:pPr>
        <w:pStyle w:val="AWGDef2C"/>
        <w:numPr>
          <w:ilvl w:val="0"/>
          <w:numId w:val="4"/>
        </w:numPr>
        <w:rPr/>
      </w:pPr>
      <w:r>
        <w:rPr>
          <w:rFonts w:ascii="DejaVu Serif" w:hAnsi="DejaVu Serif"/>
          <w:b/>
        </w:rPr>
        <w:t xml:space="preserve">GATS Security Instrument </w:t>
      </w:r>
      <w:r>
        <w:rPr>
          <w:rFonts w:ascii="DejaVu Serif" w:hAnsi="DejaVu Serif"/>
        </w:rPr>
        <w:t>means the GATS Security Instrument relating to the GATS Trust among the Beneficiary, the Existing Secured Party and the Trustee, as amended, supplemented, assigned and transferred from time to time prior to the effectiveness of this Instrument pursuant to one or more other GATS Security Documents (other than this Instrument) each of which is more particularly described in Schedule 3 (</w:t>
      </w:r>
      <w:r>
        <w:rPr>
          <w:rFonts w:ascii="DejaVu Serif" w:hAnsi="DejaVu Serif"/>
          <w:i/>
        </w:rPr>
        <w:t>Amendments to Description of GATS Security Documents</w:t>
      </w:r>
      <w:r>
        <w:rPr>
          <w:rFonts w:ascii="DejaVu Serif" w:hAnsi="DejaVu Serif"/>
        </w:rPr>
        <w:t>).</w:t>
      </w:r>
    </w:p>
    <w:p>
      <w:pPr>
        <w:pStyle w:val="AWGDef2C"/>
        <w:numPr>
          <w:ilvl w:val="0"/>
          <w:numId w:val="4"/>
        </w:numPr>
        <w:rPr/>
      </w:pPr>
      <w:r>
        <w:rPr>
          <w:rFonts w:ascii="DejaVu Serif" w:hAnsi="DejaVu Serif"/>
          <w:b/>
        </w:rPr>
        <w:t>GATS Trust</w:t>
      </w:r>
      <w:r>
        <w:rPr>
          <w:rFonts w:ascii="DejaVu Serif" w:hAnsi="DejaVu Serif"/>
        </w:rPr>
        <w:t xml:space="preserve"> means the trust created pursuant to the GATS Trust Instrument or the Previous Trust Instrument (as defined in the GATS Trust Instrument), as applicable, with the name and UIN as identified in Schedule 1 (</w:t>
      </w:r>
      <w:r>
        <w:rPr>
          <w:rFonts w:ascii="DejaVu Serif" w:hAnsi="DejaVu Serif"/>
          <w:i/>
        </w:rPr>
        <w:t>Description of GATS Trust</w:t>
      </w:r>
      <w:r>
        <w:rPr>
          <w:rFonts w:ascii="DejaVu Serif" w:hAnsi="DejaVu Serif"/>
        </w:rPr>
        <w:t>).</w:t>
      </w:r>
    </w:p>
    <w:p>
      <w:pPr>
        <w:pStyle w:val="AWGDef2C"/>
        <w:numPr>
          <w:ilvl w:val="0"/>
          <w:numId w:val="4"/>
        </w:numPr>
        <w:rPr/>
      </w:pPr>
      <w:r>
        <w:rPr>
          <w:rFonts w:ascii="DejaVu Serif" w:hAnsi="DejaVu Serif"/>
          <w:b/>
        </w:rPr>
        <w:t>New Secured Party</w:t>
      </w:r>
      <w:r>
        <w:rPr>
          <w:rFonts w:ascii="DejaVu Serif" w:hAnsi="DejaVu Serif"/>
        </w:rPr>
        <w:t xml:space="preserve"> means the person identified as the ‘New Secured Party’ in Schedule 2 (</w:t>
      </w:r>
      <w:r>
        <w:rPr>
          <w:rFonts w:ascii="DejaVu Serif" w:hAnsi="DejaVu Serif"/>
          <w:i/>
        </w:rPr>
        <w:t>Party Details</w:t>
      </w:r>
      <w:r>
        <w:rPr>
          <w:rFonts w:ascii="DejaVu Serif" w:hAnsi="DejaVu Serif"/>
        </w:rPr>
        <w:t>), acting in the capacity as indicated in such Schedule.</w:t>
      </w:r>
    </w:p>
    <w:p>
      <w:pPr>
        <w:pStyle w:val="AWGDef2C"/>
        <w:numPr>
          <w:ilvl w:val="0"/>
          <w:numId w:val="4"/>
        </w:numPr>
        <w:rPr>
          <w:rFonts w:ascii="DejaVu Serif" w:hAnsi="DejaVu Serif"/>
        </w:rPr>
      </w:pPr>
      <w:r>
        <w:rPr>
          <w:rFonts w:ascii="DejaVu Serif" w:hAnsi="DejaVu Serif"/>
          <w:b/>
          <w:color w:val="000000" w:themeColor="text1"/>
        </w:rPr>
        <w:t>Retained Obligations</w:t>
      </w:r>
      <w:r>
        <w:rPr>
          <w:rFonts w:ascii="DejaVu Serif" w:hAnsi="DejaVu Serif"/>
          <w:color w:val="000000" w:themeColor="text1"/>
        </w:rPr>
        <w:t xml:space="preserve"> a</w:t>
      </w:r>
      <w:r>
        <w:rPr>
          <w:rFonts w:ascii="DejaVu Serif" w:hAnsi="DejaVu Serif"/>
        </w:rPr>
        <w:t>ll of the Existing Secured Party’s obligations, duties and liabilities under the GATS Security Documents, excluding the Transferred Obligations.</w:t>
      </w:r>
    </w:p>
    <w:p>
      <w:pPr>
        <w:pStyle w:val="AWGDef2C"/>
        <w:numPr>
          <w:ilvl w:val="0"/>
          <w:numId w:val="4"/>
        </w:numPr>
        <w:rPr>
          <w:rFonts w:ascii="DejaVu Serif" w:hAnsi="DejaVu Serif"/>
        </w:rPr>
      </w:pPr>
      <w:r>
        <w:rPr>
          <w:rFonts w:ascii="DejaVu Serif" w:hAnsi="DejaVu Serif"/>
          <w:b/>
          <w:color w:val="000000" w:themeColor="text1"/>
        </w:rPr>
        <w:t xml:space="preserve">Retained Rights </w:t>
      </w:r>
      <w:r>
        <w:rPr>
          <w:rFonts w:ascii="DejaVu Serif" w:hAnsi="DejaVu Serif"/>
          <w:color w:val="000000" w:themeColor="text1"/>
        </w:rPr>
        <w:t>a</w:t>
      </w:r>
      <w:r>
        <w:rPr>
          <w:rFonts w:ascii="DejaVu Serif" w:hAnsi="DejaVu Serif"/>
        </w:rPr>
        <w:t>ll of the Existing Secured Party’s right, title and interest in, to and under the GATS Security Documents, excluding the Transferred Security Interest and the Transferred Rights.</w:t>
      </w:r>
    </w:p>
    <w:p>
      <w:pPr>
        <w:pStyle w:val="AWGDef2C"/>
        <w:numPr>
          <w:ilvl w:val="0"/>
          <w:numId w:val="4"/>
        </w:numPr>
        <w:rPr/>
      </w:pPr>
      <w:r>
        <w:rPr>
          <w:rFonts w:ascii="DejaVu Serif" w:hAnsi="DejaVu Serif"/>
          <w:b/>
          <w:color w:val="000000" w:themeColor="text1"/>
        </w:rPr>
        <w:t>Transferred Obligations</w:t>
      </w:r>
      <w:r>
        <w:rPr>
          <w:rFonts w:ascii="DejaVu Serif" w:hAnsi="DejaVu Serif"/>
          <w:color w:val="000000" w:themeColor="text1"/>
        </w:rPr>
        <w:t xml:space="preserve"> </w:t>
      </w:r>
      <w:r>
        <w:rPr>
          <w:rFonts w:ascii="DejaVu Serif" w:hAnsi="DejaVu Serif"/>
        </w:rPr>
        <w:t xml:space="preserve">means, </w:t>
      </w:r>
      <w:bookmarkStart w:id="7" w:name="_Hlk26970161"/>
      <w:r>
        <w:rPr>
          <w:rFonts w:ascii="DejaVu Serif" w:hAnsi="DejaVu Serif"/>
        </w:rPr>
        <w:t xml:space="preserve">after giving effect to the amendments referred to in Section </w:t>
      </w:r>
      <w:bookmarkEnd w:id="7"/>
      <w:r>
        <w:rPr>
          <w:rFonts w:ascii="DejaVu Serif" w:hAnsi="DejaVu Serif"/>
        </w:rPr>
        <w:fldChar w:fldCharType="begin"/>
      </w:r>
      <w:r>
        <w:rPr>
          <w:rFonts w:ascii="DejaVu Serif" w:hAnsi="DejaVu Serif"/>
        </w:rPr>
        <w:instrText> REF _Ref27050381 \r \h </w:instrText>
      </w:r>
      <w:r>
        <w:rPr>
          <w:rFonts w:ascii="DejaVu Serif" w:hAnsi="DejaVu Serif"/>
        </w:rPr>
        <w:fldChar w:fldCharType="separate"/>
      </w:r>
      <w:r>
        <w:rPr>
          <w:rFonts w:ascii="DejaVu Serif" w:hAnsi="DejaVu Serif"/>
        </w:rPr>
        <w:t>2.4</w:t>
      </w:r>
      <w:r>
        <w:rPr>
          <w:rFonts w:ascii="DejaVu Serif" w:hAnsi="DejaVu Serif"/>
        </w:rPr>
        <w:fldChar w:fldCharType="end"/>
      </w:r>
      <w:r>
        <w:rPr>
          <w:rFonts w:ascii="DejaVu Serif" w:hAnsi="DejaVu Serif"/>
        </w:rPr>
        <w:t xml:space="preserve">, </w:t>
      </w:r>
      <w:r>
        <w:rPr>
          <w:rFonts w:ascii="DejaVu Serif" w:hAnsi="DejaVu Serif"/>
          <w:color w:val="000000" w:themeColor="text1"/>
        </w:rPr>
        <w:t>a</w:t>
      </w:r>
      <w:r>
        <w:rPr>
          <w:rFonts w:ascii="DejaVu Serif" w:hAnsi="DejaVu Serif"/>
        </w:rPr>
        <w:t>ll of the Existing Secured Party’s obligations, duties and liabilities under the GATS Security Documents arising during or required to be performed during any period after the Effective Time.</w:t>
      </w:r>
    </w:p>
    <w:p>
      <w:pPr>
        <w:pStyle w:val="AWGDef2C"/>
        <w:numPr>
          <w:ilvl w:val="0"/>
          <w:numId w:val="4"/>
        </w:numPr>
        <w:rPr/>
      </w:pPr>
      <w:r>
        <w:rPr>
          <w:rFonts w:ascii="DejaVu Serif" w:hAnsi="DejaVu Serif"/>
          <w:b/>
          <w:color w:val="000000" w:themeColor="text1"/>
        </w:rPr>
        <w:t xml:space="preserve">Transferred Rights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_Ref27050381 \r \h </w:instrText>
      </w:r>
      <w:r>
        <w:rPr>
          <w:rFonts w:ascii="DejaVu Serif" w:hAnsi="DejaVu Serif"/>
        </w:rPr>
        <w:fldChar w:fldCharType="separate"/>
      </w:r>
      <w:r>
        <w:rPr>
          <w:rFonts w:ascii="DejaVu Serif" w:hAnsi="DejaVu Serif"/>
        </w:rPr>
        <w:t>2.4</w:t>
      </w:r>
      <w:r>
        <w:rPr>
          <w:rFonts w:ascii="DejaVu Serif" w:hAnsi="DejaVu Serif"/>
        </w:rPr>
        <w:fldChar w:fldCharType="end"/>
      </w:r>
      <w:r>
        <w:rPr>
          <w:rFonts w:ascii="DejaVu Serif" w:hAnsi="DejaVu Serif"/>
        </w:rPr>
        <w:t>,</w:t>
      </w:r>
      <w:r>
        <w:rPr>
          <w:rFonts w:ascii="DejaVu Serif" w:hAnsi="DejaVu Serif"/>
          <w:color w:val="000000" w:themeColor="text1"/>
        </w:rPr>
        <w:t xml:space="preserve"> a</w:t>
      </w:r>
      <w:r>
        <w:rPr>
          <w:rFonts w:ascii="DejaVu Serif" w:hAnsi="DejaVu Serif"/>
        </w:rPr>
        <w:t>ll of the Existing Secured Party’s right, title and interest in, to and under the GATS Security Documents arising during or required to be performed during any period after the Effective Time.</w:t>
      </w:r>
    </w:p>
    <w:p>
      <w:pPr>
        <w:pStyle w:val="AWGDef2C"/>
        <w:numPr>
          <w:ilvl w:val="0"/>
          <w:numId w:val="4"/>
        </w:numPr>
        <w:rPr>
          <w:rFonts w:ascii="DejaVu Serif" w:hAnsi="DejaVu Serif"/>
        </w:rPr>
      </w:pPr>
      <w:r>
        <w:rPr>
          <w:rFonts w:ascii="DejaVu Serif" w:hAnsi="DejaVu Serif"/>
          <w:b/>
        </w:rPr>
        <w:t>Transferred Security Interest</w:t>
      </w:r>
      <w:r>
        <w:rPr>
          <w:rFonts w:ascii="DejaVu Serif" w:hAnsi="DejaVu Serif"/>
        </w:rPr>
        <w:t xml:space="preserve"> means all of the Security Interest grant</w:t>
      </w:r>
      <w:bookmarkStart w:id="8" w:name="_GoBack"/>
      <w:bookmarkEnd w:id="8"/>
      <w:r>
        <w:rPr>
          <w:rFonts w:ascii="DejaVu Serif" w:hAnsi="DejaVu Serif"/>
        </w:rPr>
        <w:t>ed to the Existing Secured Party (or assigned and transferred to it, as applicable) prior to the effectiveness of this Instrument pursuant to the GATS Security Instrument.</w:t>
      </w:r>
    </w:p>
    <w:p>
      <w:pPr>
        <w:pStyle w:val="AWGDef2C"/>
        <w:numPr>
          <w:ilvl w:val="0"/>
          <w:numId w:val="4"/>
        </w:numPr>
        <w:rPr/>
      </w:pPr>
      <w:r>
        <w:rPr>
          <w:rFonts w:ascii="DejaVu Serif" w:hAnsi="DejaVu Serif"/>
          <w:b/>
        </w:rPr>
        <w:t>Trustee</w:t>
      </w:r>
      <w:r>
        <w:rPr>
          <w:rFonts w:ascii="DejaVu Serif" w:hAnsi="DejaVu Serif"/>
        </w:rPr>
        <w:t xml:space="preserve"> means the person identified as the ‘Trustee’ in Schedule 2 (</w:t>
      </w:r>
      <w:r>
        <w:rPr>
          <w:rFonts w:ascii="DejaVu Serif" w:hAnsi="DejaVu Serif"/>
          <w:i/>
        </w:rPr>
        <w:t>Party Details</w:t>
      </w:r>
      <w:r>
        <w:rPr>
          <w:rFonts w:ascii="DejaVu Serif" w:hAnsi="DejaVu Serif"/>
        </w:rPr>
        <w:t>).</w:t>
      </w:r>
    </w:p>
    <w:p>
      <w:pPr>
        <w:pStyle w:val="AWGDef2C"/>
        <w:numPr>
          <w:ilvl w:val="0"/>
          <w:numId w:val="4"/>
        </w:numPr>
        <w:rPr>
          <w:rFonts w:ascii="DejaVu Serif" w:hAnsi="DejaVu Serif"/>
        </w:rPr>
      </w:pPr>
      <w:r>
        <w:rPr>
          <w:rFonts w:ascii="DejaVu Serif" w:hAnsi="DejaVu Serif"/>
          <w:b/>
        </w:rPr>
        <w:t>UIN</w:t>
      </w:r>
      <w:r>
        <w:rPr>
          <w:rFonts w:ascii="DejaVu Serif" w:hAnsi="DejaVu Serif"/>
        </w:rPr>
        <w:t xml:space="preserve"> means the unique identification number assigned to the GATS Trust by the Global Aircraft Trading System</w:t>
      </w:r>
      <w:r>
        <w:rPr>
          <w:rFonts w:eastAsia="Calibri" w:cs="" w:ascii="DejaVu Serif" w:hAnsi="DejaVu Serif"/>
          <w:b/>
          <w:color w:val="000000"/>
          <w:kern w:val="0"/>
          <w:sz w:val="24"/>
          <w:szCs w:val="24"/>
          <w:vertAlign w:val="superscript"/>
          <w:lang w:val="en-GB" w:eastAsia="ja-JP" w:bidi="ar-SA"/>
        </w:rPr>
        <w:t>®</w:t>
      </w:r>
      <w:r>
        <w:rPr>
          <w:rFonts w:ascii="DejaVu Serif" w:hAnsi="DejaVu Serif"/>
        </w:rPr>
        <w:t>.</w:t>
      </w:r>
    </w:p>
    <w:p>
      <w:pPr>
        <w:pStyle w:val="AWGNumberedList12C"/>
        <w:numPr>
          <w:ilvl w:val="0"/>
          <w:numId w:val="5"/>
        </w:numPr>
        <w:rPr>
          <w:rFonts w:ascii="DejaVu Serif" w:hAnsi="DejaVu Serif"/>
        </w:rPr>
      </w:pPr>
      <w:r>
        <w:rPr>
          <w:rFonts w:ascii="DejaVu Serif" w:hAnsi="DejaVu Serif"/>
        </w:rPr>
        <w:t>Assignment and Transfer</w:t>
      </w:r>
    </w:p>
    <w:p>
      <w:pPr>
        <w:pStyle w:val="AWGNumberedList22C"/>
        <w:numPr>
          <w:ilvl w:val="1"/>
          <w:numId w:val="5"/>
        </w:numPr>
        <w:rPr>
          <w:rFonts w:ascii="DejaVu Serif" w:hAnsi="DejaVu Serif"/>
        </w:rPr>
      </w:pPr>
      <w:bookmarkStart w:id="9" w:name="_Ref528609441"/>
      <w:r>
        <w:rPr>
          <w:rFonts w:ascii="DejaVu Serif" w:hAnsi="DejaVu Serif"/>
        </w:rPr>
        <w:t>Assignment and Transfer of Security Interest</w:t>
      </w:r>
      <w:bookmarkEnd w:id="9"/>
    </w:p>
    <w:p>
      <w:pPr>
        <w:pStyle w:val="AWGBodyText12C"/>
        <w:rPr>
          <w:rFonts w:ascii="DejaVu Serif" w:hAnsi="DejaVu Serif"/>
        </w:rPr>
      </w:pPr>
      <w:r>
        <w:rPr>
          <w:rFonts w:ascii="DejaVu Serif" w:hAnsi="DejaVu Serif"/>
        </w:rPr>
        <w:t>With effect from the Effective Time, the Existing Secured Party assigns and transfers to the New Secured Party all of its right, title and interest in and to the Transferred Security Interest, and the New Secured Party accepts such assignment and transfer. Except as otherwise expressly provided in any other document to which the Existing Secured Party is a party, the Transferred Security Interest is assigned and transferred to the New Secured Party pursuant to this Instrument “AS IS” and “WHERE IS”.</w:t>
      </w:r>
    </w:p>
    <w:p>
      <w:pPr>
        <w:pStyle w:val="AWGNumberedList22C"/>
        <w:numPr>
          <w:ilvl w:val="1"/>
          <w:numId w:val="5"/>
        </w:numPr>
        <w:rPr>
          <w:rFonts w:ascii="DejaVu Serif" w:hAnsi="DejaVu Serif"/>
        </w:rPr>
      </w:pPr>
      <w:r>
        <w:rPr>
          <w:rFonts w:ascii="DejaVu Serif" w:hAnsi="DejaVu Serif"/>
        </w:rPr>
        <w:t>Assignment and Transfer of Rights and Obligations under GATS Security Instrument</w:t>
      </w:r>
    </w:p>
    <w:p>
      <w:pPr>
        <w:pStyle w:val="AWGBodyText12C"/>
        <w:rPr>
          <w:rFonts w:ascii="DejaVu Serif" w:hAnsi="DejaVu Serif"/>
        </w:rPr>
      </w:pPr>
      <w:r>
        <w:rPr>
          <w:rFonts w:ascii="DejaVu Serif" w:hAnsi="DejaVu Serif"/>
        </w:rPr>
        <w:t>With effect from the Effective Time:</w:t>
      </w:r>
    </w:p>
    <w:p>
      <w:pPr>
        <w:pStyle w:val="AWGNumberedListAlt32C"/>
        <w:numPr>
          <w:ilvl w:val="3"/>
          <w:numId w:val="5"/>
        </w:numPr>
        <w:rPr>
          <w:rFonts w:ascii="DejaVu Serif" w:hAnsi="DejaVu Serif"/>
        </w:rPr>
      </w:pPr>
      <w:r>
        <w:rPr>
          <w:rFonts w:ascii="DejaVu Serif" w:hAnsi="DejaVu Serif"/>
        </w:rPr>
        <w:t>the Existing Secured Party assigns and transfers all of its Transferred Rights and all of its Transferred Obligations to the New Secured Party, and agrees that it is no longer entitled to the benefit of any of its Transferred Rights;</w:t>
      </w:r>
    </w:p>
    <w:p>
      <w:pPr>
        <w:pStyle w:val="AWGNumberedListAlt32C"/>
        <w:numPr>
          <w:ilvl w:val="3"/>
          <w:numId w:val="5"/>
        </w:numPr>
        <w:rPr>
          <w:rFonts w:ascii="DejaVu Serif" w:hAnsi="DejaVu Serif"/>
        </w:rPr>
      </w:pPr>
      <w:r>
        <w:rPr>
          <w:rFonts w:ascii="DejaVu Serif" w:hAnsi="DejaVu Serif"/>
        </w:rPr>
        <w:t>the New Secured Party accepts such assignment and transfer, and agrees to perform its Transferred Obligations as the ‘Secured Party’ under the GATS Security Instrument;</w:t>
      </w:r>
    </w:p>
    <w:p>
      <w:pPr>
        <w:pStyle w:val="AWGNumberedListAlt32C"/>
        <w:numPr>
          <w:ilvl w:val="3"/>
          <w:numId w:val="5"/>
        </w:numPr>
        <w:rPr>
          <w:rFonts w:ascii="DejaVu Serif" w:hAnsi="DejaVu Serif"/>
        </w:rPr>
      </w:pPr>
      <w:r>
        <w:rPr>
          <w:rFonts w:ascii="DejaVu Serif" w:hAnsi="DejaVu Serif"/>
        </w:rPr>
        <w:t>each of the Beneficiary and the Trustee, by operation of its agreement and consent pursuant to section 7.3 in the Master Terms:</w:t>
      </w:r>
    </w:p>
    <w:p>
      <w:pPr>
        <w:pStyle w:val="AWGNumberedListAlt42C"/>
        <w:numPr>
          <w:ilvl w:val="5"/>
          <w:numId w:val="5"/>
        </w:numPr>
        <w:rPr>
          <w:rFonts w:ascii="DejaVu Serif" w:hAnsi="DejaVu Serif"/>
        </w:rPr>
      </w:pPr>
      <w:r>
        <w:rPr>
          <w:rFonts w:ascii="DejaVu Serif" w:hAnsi="DejaVu Serif"/>
        </w:rPr>
        <w:t>consents to the assignment and transfer of the Transferred Rights and the Transferred Obligations to the New Secured Party;</w:t>
      </w:r>
    </w:p>
    <w:p>
      <w:pPr>
        <w:pStyle w:val="AWGNumberedListAlt42C"/>
        <w:numPr>
          <w:ilvl w:val="5"/>
          <w:numId w:val="5"/>
        </w:numPr>
        <w:rPr>
          <w:rFonts w:ascii="DejaVu Serif" w:hAnsi="DejaVu Serif"/>
        </w:rPr>
      </w:pPr>
      <w:r>
        <w:rPr>
          <w:rFonts w:ascii="DejaVu Serif" w:hAnsi="DejaVu Serif"/>
        </w:rPr>
        <w:t>releases the Existing Secured Party from all of the Transferred Obligations;</w:t>
      </w:r>
    </w:p>
    <w:p>
      <w:pPr>
        <w:pStyle w:val="AWGNumberedListAlt42C"/>
        <w:numPr>
          <w:ilvl w:val="5"/>
          <w:numId w:val="5"/>
        </w:numPr>
        <w:rPr>
          <w:rFonts w:ascii="DejaVu Serif" w:hAnsi="DejaVu Serif"/>
        </w:rPr>
      </w:pPr>
      <w:r>
        <w:rPr>
          <w:rFonts w:ascii="DejaVu Serif" w:hAnsi="DejaVu Serif"/>
        </w:rPr>
        <w:t>agrees to perform all of its obligations, duties and liabilities that are Transferred Rights in favour of the New Secured Party; and</w:t>
      </w:r>
    </w:p>
    <w:p>
      <w:pPr>
        <w:pStyle w:val="AWGNumberedListAlt42C"/>
        <w:numPr>
          <w:ilvl w:val="5"/>
          <w:numId w:val="5"/>
        </w:numPr>
        <w:rPr>
          <w:rFonts w:ascii="DejaVu Serif" w:hAnsi="DejaVu Serif"/>
        </w:rPr>
      </w:pPr>
      <w:r>
        <w:rPr>
          <w:rFonts w:ascii="DejaVu Serif" w:hAnsi="DejaVu Serif"/>
        </w:rPr>
        <w:t>agrees that it has been notified of the assignment and transfer of the Transferred Security Interest, the Transferred Rights and the Transferred Obligations effected by this Instrument.</w:t>
      </w:r>
    </w:p>
    <w:p>
      <w:pPr>
        <w:pStyle w:val="AWGNumberedList22C"/>
        <w:numPr>
          <w:ilvl w:val="1"/>
          <w:numId w:val="5"/>
        </w:numPr>
        <w:rPr>
          <w:rFonts w:ascii="DejaVu Serif" w:hAnsi="DejaVu Serif"/>
        </w:rPr>
      </w:pPr>
      <w:bookmarkStart w:id="10" w:name="_Ref526151655"/>
      <w:r>
        <w:rPr>
          <w:rFonts w:ascii="DejaVu Serif" w:hAnsi="DejaVu Serif"/>
        </w:rPr>
        <w:t>Retained Rights and Retained Obligations</w:t>
      </w:r>
      <w:bookmarkEnd w:id="10"/>
    </w:p>
    <w:p>
      <w:pPr>
        <w:pStyle w:val="AWGBodyText12C"/>
        <w:rPr>
          <w:rFonts w:ascii="DejaVu Serif" w:hAnsi="DejaVu Serif"/>
        </w:rPr>
      </w:pPr>
      <w:r>
        <w:rPr>
          <w:rFonts w:ascii="DejaVu Serif" w:hAnsi="DejaVu Serif"/>
        </w:rPr>
        <w:t>The Existing Secured Party shall remain entitled to its Retained Rights and shall remain bound to perform its Retained Obligations, as if it had remained the ‘Secured Party’ under the GATS Security Instrument.</w:t>
      </w:r>
    </w:p>
    <w:p>
      <w:pPr>
        <w:pStyle w:val="AWGNumberedList22C"/>
        <w:numPr>
          <w:ilvl w:val="1"/>
          <w:numId w:val="5"/>
        </w:numPr>
        <w:rPr>
          <w:rFonts w:ascii="DejaVu Serif" w:hAnsi="DejaVu Serif"/>
        </w:rPr>
      </w:pPr>
      <w:bookmarkStart w:id="11" w:name="_Ref27050381"/>
      <w:r>
        <w:rPr>
          <w:rFonts w:ascii="DejaVu Serif" w:hAnsi="DejaVu Serif"/>
        </w:rPr>
        <w:t>Amendment to the GATS Security Instrument</w:t>
      </w:r>
      <w:bookmarkEnd w:id="11"/>
    </w:p>
    <w:p>
      <w:pPr>
        <w:pStyle w:val="AWGBodyText12C"/>
        <w:rPr>
          <w:rFonts w:ascii="DejaVu Serif" w:hAnsi="DejaVu Serif"/>
        </w:rPr>
      </w:pPr>
      <w:r>
        <w:rPr>
          <w:rFonts w:ascii="DejaVu Serif" w:hAnsi="DejaVu Serif"/>
        </w:rPr>
        <w:t>With effect from the Effective Time:</w:t>
      </w:r>
    </w:p>
    <w:p>
      <w:pPr>
        <w:pStyle w:val="AWGNumberedListAlt32C"/>
        <w:numPr>
          <w:ilvl w:val="3"/>
          <w:numId w:val="5"/>
        </w:numPr>
        <w:rPr/>
      </w:pPr>
      <w:r>
        <w:rPr>
          <w:rFonts w:ascii="DejaVu Serif" w:hAnsi="DejaVu Serif"/>
        </w:rPr>
        <w:t>schedule 2 (</w:t>
      </w:r>
      <w:r>
        <w:rPr>
          <w:rFonts w:ascii="DejaVu Serif" w:hAnsi="DejaVu Serif"/>
          <w:i/>
        </w:rPr>
        <w:t>Party Details</w:t>
      </w:r>
      <w:r>
        <w:rPr>
          <w:rFonts w:ascii="DejaVu Serif" w:hAnsi="DejaVu Serif"/>
        </w:rPr>
        <w:t>) to the GATS Security Instrument is amended to reflect the legal name and other details of the New Secured Party as the ‘Secured Party’ as described in Schedule 2 (</w:t>
      </w:r>
      <w:r>
        <w:rPr>
          <w:rFonts w:ascii="DejaVu Serif" w:hAnsi="DejaVu Serif"/>
          <w:i/>
        </w:rPr>
        <w:t>Party Details</w:t>
      </w:r>
      <w:r>
        <w:rPr>
          <w:rFonts w:ascii="DejaVu Serif" w:hAnsi="DejaVu Serif"/>
        </w:rPr>
        <w:t>);</w:t>
      </w:r>
    </w:p>
    <w:p>
      <w:pPr>
        <w:pStyle w:val="AWGNumberedListAlt32C"/>
        <w:numPr>
          <w:ilvl w:val="3"/>
          <w:numId w:val="5"/>
        </w:numPr>
        <w:rPr>
          <w:rFonts w:ascii="DejaVu Serif" w:hAnsi="DejaVu Serif"/>
        </w:rPr>
      </w:pPr>
      <w:r>
        <w:rPr>
          <w:rFonts w:ascii="DejaVu Serif" w:hAnsi="DejaVu Serif"/>
        </w:rPr>
        <w:t>all references in the GATS Security Instrument to the Existing Secured Party or ‘Secured Party’ are amended to refer to the New Secured Party;</w:t>
      </w:r>
    </w:p>
    <w:p>
      <w:pPr>
        <w:pStyle w:val="AWGNumberedListAlt32C"/>
        <w:numPr>
          <w:ilvl w:val="3"/>
          <w:numId w:val="5"/>
        </w:numPr>
        <w:rPr/>
      </w:pPr>
      <w:r>
        <w:rPr>
          <w:rFonts w:ascii="DejaVu Serif" w:hAnsi="DejaVu Serif"/>
        </w:rPr>
        <w:t>Schedule 4 (</w:t>
      </w:r>
      <w:r>
        <w:rPr>
          <w:rFonts w:ascii="DejaVu Serif" w:hAnsi="DejaVu Serif"/>
          <w:i/>
        </w:rPr>
        <w:t>Description of GATS Security Documents</w:t>
      </w:r>
      <w:r>
        <w:rPr>
          <w:rFonts w:ascii="DejaVu Serif" w:hAnsi="DejaVu Serif"/>
        </w:rPr>
        <w:t>) to the GATS Security Instrument is amended in accordance with Schedule 3 (</w:t>
      </w:r>
      <w:r>
        <w:rPr>
          <w:rFonts w:ascii="DejaVu Serif" w:hAnsi="DejaVu Serif"/>
          <w:i/>
        </w:rPr>
        <w:t>Amendments to Description of GATS Security Documents</w:t>
      </w:r>
      <w:r>
        <w:rPr>
          <w:rFonts w:ascii="DejaVu Serif" w:hAnsi="DejaVu Serif"/>
        </w:rPr>
        <w:t>); and</w:t>
      </w:r>
    </w:p>
    <w:p>
      <w:pPr>
        <w:pStyle w:val="AWGNumberedListAlt32C"/>
        <w:numPr>
          <w:ilvl w:val="3"/>
          <w:numId w:val="5"/>
        </w:numPr>
        <w:rPr/>
      </w:pPr>
      <w:r>
        <w:rPr>
          <w:rFonts w:ascii="DejaVu Serif" w:hAnsi="DejaVu Serif"/>
        </w:rPr>
        <w:t xml:space="preserve">the GATS Security Instrument is otherwise amended to reflect the transactions described in Sections </w:t>
      </w:r>
      <w:r>
        <w:rPr>
          <w:rFonts w:ascii="DejaVu Serif" w:hAnsi="DejaVu Serif"/>
        </w:rPr>
        <w:fldChar w:fldCharType="begin"/>
      </w:r>
      <w:r>
        <w:rPr>
          <w:rFonts w:ascii="DejaVu Serif" w:hAnsi="DejaVu Serif"/>
        </w:rPr>
        <w:instrText> REF _Ref528609441 \w \h </w:instrText>
      </w:r>
      <w:r>
        <w:rPr>
          <w:rFonts w:ascii="DejaVu Serif" w:hAnsi="DejaVu Serif"/>
        </w:rPr>
        <w:fldChar w:fldCharType="separate"/>
      </w:r>
      <w:r>
        <w:rPr>
          <w:rFonts w:ascii="DejaVu Serif" w:hAnsi="DejaVu Serif"/>
        </w:rPr>
        <w:t>2.1</w:t>
      </w:r>
      <w:r>
        <w:rPr>
          <w:rFonts w:ascii="DejaVu Serif" w:hAnsi="DejaVu Serif"/>
        </w:rPr>
        <w:fldChar w:fldCharType="end"/>
      </w:r>
      <w:r>
        <w:rPr>
          <w:rFonts w:ascii="DejaVu Serif" w:hAnsi="DejaVu Serif"/>
        </w:rPr>
        <w:t xml:space="preserve"> to </w:t>
      </w:r>
      <w:r>
        <w:rPr>
          <w:rFonts w:ascii="DejaVu Serif" w:hAnsi="DejaVu Serif"/>
        </w:rPr>
        <w:fldChar w:fldCharType="begin"/>
      </w:r>
      <w:r>
        <w:rPr>
          <w:rFonts w:ascii="DejaVu Serif" w:hAnsi="DejaVu Serif"/>
        </w:rPr>
        <w:instrText> REF _Ref526151655 \r \h </w:instrText>
      </w:r>
      <w:r>
        <w:rPr>
          <w:rFonts w:ascii="DejaVu Serif" w:hAnsi="DejaVu Serif"/>
        </w:rPr>
        <w:fldChar w:fldCharType="separate"/>
      </w:r>
      <w:r>
        <w:rPr>
          <w:rFonts w:ascii="DejaVu Serif" w:hAnsi="DejaVu Serif"/>
        </w:rPr>
        <w:t>2.3</w:t>
      </w:r>
      <w:r>
        <w:rPr>
          <w:rFonts w:ascii="DejaVu Serif" w:hAnsi="DejaVu Serif"/>
        </w:rPr>
        <w:fldChar w:fldCharType="end"/>
      </w:r>
      <w:r>
        <w:rPr>
          <w:rFonts w:ascii="DejaVu Serif" w:hAnsi="DejaVu Serif"/>
        </w:rPr>
        <w:t xml:space="preserve">. </w:t>
      </w:r>
    </w:p>
    <w:p>
      <w:pPr>
        <w:pStyle w:val="AWGBodyText12C"/>
        <w:rPr>
          <w:rFonts w:ascii="DejaVu Serif" w:hAnsi="DejaVu Serif"/>
        </w:rPr>
      </w:pPr>
      <w:r>
        <w:rPr>
          <w:rFonts w:ascii="DejaVu Serif" w:hAnsi="DejaVu Serif"/>
        </w:rPr>
        <w:t>Except as amended and supplemented by this Instrument, the GATS Security Instrument shall remain in full force and effect.</w:t>
      </w:r>
    </w:p>
    <w:p>
      <w:pPr>
        <w:pStyle w:val="AWGNumberedList12C"/>
        <w:numPr>
          <w:ilvl w:val="0"/>
          <w:numId w:val="5"/>
        </w:numPr>
        <w:rPr>
          <w:rFonts w:ascii="DejaVu Serif" w:hAnsi="DejaVu Serif"/>
        </w:rPr>
      </w:pPr>
      <w:r>
        <w:rPr>
          <w:rFonts w:ascii="DejaVu Serif" w:hAnsi="DejaVu Serif"/>
        </w:rPr>
        <w:t>Further Assurance</w:t>
      </w:r>
    </w:p>
    <w:p>
      <w:pPr>
        <w:pStyle w:val="AWGNumberedList22C"/>
        <w:numPr>
          <w:ilvl w:val="1"/>
          <w:numId w:val="5"/>
        </w:numPr>
        <w:rPr>
          <w:rFonts w:ascii="DejaVu Serif" w:hAnsi="DejaVu Serif"/>
        </w:rPr>
      </w:pPr>
      <w:r>
        <w:rPr>
          <w:rFonts w:ascii="DejaVu Serif" w:hAnsi="DejaVu Serif"/>
        </w:rPr>
        <w:t>Each party to this Instrument covenants and agrees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w:t>
      </w:r>
    </w:p>
    <w:p>
      <w:pPr>
        <w:pStyle w:val="AWGNumberedList22C"/>
        <w:numPr>
          <w:ilvl w:val="1"/>
          <w:numId w:val="5"/>
        </w:numPr>
        <w:rPr>
          <w:rFonts w:ascii="DejaVu Serif" w:hAnsi="DejaVu Serif"/>
        </w:rPr>
      </w:pPr>
      <w:bookmarkStart w:id="12" w:name="_Hlk535259882"/>
      <w:r>
        <w:rPr>
          <w:rFonts w:ascii="DejaVu Serif" w:hAnsi="DejaVu Serif"/>
        </w:rPr>
        <w:t>Upon execution, an executed copy of this Instrument of this Instrument will be made available to the Beneficiary and the Trustee through the GATS Platform.</w:t>
      </w:r>
      <w:bookmarkEnd w:id="12"/>
    </w:p>
    <w:p>
      <w:pPr>
        <w:pStyle w:val="AWGNumberedList12C"/>
        <w:numPr>
          <w:ilvl w:val="0"/>
          <w:numId w:val="5"/>
        </w:numPr>
        <w:rPr>
          <w:rFonts w:ascii="DejaVu Serif" w:hAnsi="DejaVu Serif"/>
        </w:rPr>
      </w:pPr>
      <w:bookmarkStart w:id="13" w:name="_Toc525847197"/>
      <w:bookmarkStart w:id="14" w:name="_Ref526872824"/>
      <w:r>
        <w:rPr>
          <w:rFonts w:ascii="DejaVu Serif" w:hAnsi="DejaVu Serif"/>
        </w:rPr>
        <w:t>Miscellaneous</w:t>
      </w:r>
      <w:bookmarkEnd w:id="13"/>
      <w:bookmarkEnd w:id="14"/>
    </w:p>
    <w:p>
      <w:pPr>
        <w:pStyle w:val="AWGNumberedList22C"/>
        <w:numPr>
          <w:ilvl w:val="1"/>
          <w:numId w:val="5"/>
        </w:numPr>
        <w:rPr>
          <w:rFonts w:ascii="DejaVu Serif" w:hAnsi="DejaVu Serif"/>
        </w:rPr>
      </w:pPr>
      <w:r>
        <w:rPr>
          <w:rFonts w:ascii="DejaVu Serif" w:hAnsi="DejaVu Serif"/>
        </w:rPr>
        <w:t>Electronic and Digital Execution and Delivery</w:t>
      </w:r>
    </w:p>
    <w:p>
      <w:pPr>
        <w:pStyle w:val="AWGNumberedListAlt32C"/>
        <w:numPr>
          <w:ilvl w:val="3"/>
          <w:numId w:val="5"/>
        </w:numPr>
        <w:rPr>
          <w:rFonts w:ascii="DejaVu Serif" w:hAnsi="DejaVu Serif"/>
        </w:rPr>
      </w:pPr>
      <w:r>
        <w:rPr>
          <w:rFonts w:ascii="DejaVu Serif" w:hAnsi="DejaVu Serif"/>
        </w:rPr>
        <w:t>Each party to this Instrument agrees that:</w:t>
      </w:r>
    </w:p>
    <w:p>
      <w:pPr>
        <w:pStyle w:val="AWGNumberedListAlt42C"/>
        <w:numPr>
          <w:ilvl w:val="5"/>
          <w:numId w:val="5"/>
        </w:numPr>
        <w:rPr>
          <w:rFonts w:ascii="DejaVu Serif" w:hAnsi="DejaVu Serif"/>
        </w:rPr>
      </w:pPr>
      <w:r>
        <w:rPr>
          <w:rFonts w:ascii="DejaVu Serif" w:hAnsi="DejaVu Serif"/>
        </w:rPr>
        <w:t xml:space="preserve">the other party shall be entitled to rely on the signature, execution, delivery, effect, authentication and time-stamping of this Instrument effected electronically or digitally; and </w:t>
      </w:r>
    </w:p>
    <w:p>
      <w:pPr>
        <w:pStyle w:val="AWGNumberedListAlt42C"/>
        <w:numPr>
          <w:ilvl w:val="5"/>
          <w:numId w:val="5"/>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agreement among the parties to it and conclusive evidence of such agreement,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5"/>
        </w:numPr>
        <w:rPr/>
      </w:pPr>
      <w:r>
        <w:rPr>
          <w:rFonts w:ascii="DejaVu Serif" w:hAnsi="DejaVu Serif"/>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5"/>
        </w:numPr>
        <w:rPr/>
      </w:pPr>
      <w:bookmarkStart w:id="15" w:name="_Ref24464044"/>
      <w:r>
        <w:rPr>
          <w:rFonts w:ascii="DejaVu Serif" w:hAnsi="DejaVu Serif"/>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5"/>
    </w:p>
    <w:p>
      <w:pPr>
        <w:pStyle w:val="AWGNumberedListAlt32C"/>
        <w:numPr>
          <w:ilvl w:val="3"/>
          <w:numId w:val="5"/>
        </w:numPr>
        <w:rPr/>
      </w:pPr>
      <w:bookmarkStart w:id="16" w:name="_Ref24458113"/>
      <w:bookmarkStart w:id="17" w:name="_Hlk25326583"/>
      <w:bookmarkEnd w:id="17"/>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16"/>
    </w:p>
    <w:p>
      <w:pPr>
        <w:pStyle w:val="AWGNumberedList22C"/>
        <w:numPr>
          <w:ilvl w:val="1"/>
          <w:numId w:val="5"/>
        </w:numPr>
        <w:rPr>
          <w:rFonts w:ascii="DejaVu Serif" w:hAnsi="DejaVu Serif"/>
        </w:rPr>
      </w:pPr>
      <w:r>
        <w:rPr>
          <w:rFonts w:ascii="DejaVu Serif" w:hAnsi="DejaVu Serif"/>
        </w:rPr>
        <w:t>GATS Forms</w:t>
      </w:r>
    </w:p>
    <w:p>
      <w:pPr>
        <w:pStyle w:val="AWGBodyText12C"/>
        <w:rPr>
          <w:rFonts w:ascii="DejaVu Serif" w:hAnsi="DejaVu Serif"/>
        </w:rPr>
      </w:pPr>
      <w:r>
        <w:rPr>
          <w:rFonts w:ascii="DejaVu Serif" w:hAnsi="DejaVu Serif"/>
        </w:rPr>
        <w:t>This Instrument is in the form of version 1.0 of the GATS Form for this Instrument.</w:t>
      </w:r>
    </w:p>
    <w:p>
      <w:pPr>
        <w:pStyle w:val="AWGNumberedList22C"/>
        <w:numPr>
          <w:ilvl w:val="1"/>
          <w:numId w:val="5"/>
        </w:numPr>
        <w:rPr>
          <w:rFonts w:ascii="DejaVu Serif" w:hAnsi="DejaVu Serif"/>
        </w:rPr>
      </w:pPr>
      <w:r>
        <w:rPr>
          <w:rFonts w:ascii="DejaVu Serif" w:hAnsi="DejaVu Serif"/>
        </w:rPr>
        <w:t>Counterparts</w:t>
      </w:r>
    </w:p>
    <w:p>
      <w:pPr>
        <w:pStyle w:val="AWGBodyText12C"/>
        <w:rPr/>
      </w:pPr>
      <w:bookmarkStart w:id="18" w:name="_Hlk27048836"/>
      <w:r>
        <w:rPr>
          <w:rFonts w:ascii="DejaVu Serif" w:hAnsi="DejaVu Serif"/>
        </w:rPr>
        <w:t>Without prejudice to Sections 4.1(c) and (d) above, this Instrument may be executed in any number of counterparts, each of which when so executed shall be deemed to be an original, and all of which counterparts, taken together, shall constitute one and the same instrument.</w:t>
      </w:r>
      <w:bookmarkEnd w:id="18"/>
    </w:p>
    <w:p>
      <w:pPr>
        <w:pStyle w:val="AWGNumberedList22C"/>
        <w:numPr>
          <w:ilvl w:val="1"/>
          <w:numId w:val="5"/>
        </w:numPr>
        <w:rPr>
          <w:rFonts w:ascii="DejaVu Serif" w:hAnsi="DejaVu Serif"/>
        </w:rPr>
      </w:pPr>
      <w:bookmarkStart w:id="19" w:name="_Toc525847208"/>
      <w:r>
        <w:rPr>
          <w:rFonts w:ascii="DejaVu Serif" w:hAnsi="DejaVu Serif"/>
        </w:rPr>
        <w:t>Governing Law</w:t>
      </w:r>
      <w:bookmarkEnd w:id="19"/>
    </w:p>
    <w:p>
      <w:pPr>
        <w:pStyle w:val="AWGBodyText12C"/>
        <w:rPr>
          <w:rFonts w:ascii="DejaVu Serif" w:hAnsi="DejaVu Serif"/>
        </w:rPr>
      </w:pPr>
      <w:bookmarkStart w:id="20" w:name="_Hlk27147601"/>
      <w:r>
        <w:rPr>
          <w:rFonts w:ascii="DejaVu Serif" w:hAnsi="DejaVu Serif"/>
          <w:lang w:val="en-US"/>
        </w:rPr>
        <w:t xml:space="preserve">This Instrument </w:t>
      </w:r>
      <w:bookmarkEnd w:id="20"/>
      <w:r>
        <w:rPr>
          <w:rFonts w:ascii="DejaVu Serif" w:hAnsi="DejaVu Serif"/>
          <w:lang w:val="en-US"/>
        </w:rPr>
        <w:t xml:space="preserve"> and all relationships created by it and arising out of or in connection with it, together with all Disputes, will in all respects be governed by and construed in accordance with the laws of Ireland</w:t>
      </w:r>
      <w:r>
        <w:rPr>
          <w:rFonts w:ascii="DejaVu Serif" w:hAnsi="DejaVu Serif"/>
        </w:rPr>
        <w:t>.</w:t>
      </w:r>
      <w:bookmarkStart w:id="21" w:name="_Hlk27052230"/>
      <w:bookmarkEnd w:id="5"/>
      <w:bookmarkEnd w:id="21"/>
    </w:p>
    <w:p>
      <w:pPr>
        <w:sectPr>
          <w:type w:val="continuous"/>
          <w:pgSz w:w="11906" w:h="16838"/>
          <w:pgMar w:left="1440" w:right="1440" w:header="0" w:top="1440" w:footer="493" w:bottom="1440" w:gutter="0"/>
          <w:cols w:num="2" w:space="282" w:equalWidth="true" w:sep="false"/>
          <w:formProt w:val="false"/>
          <w:textDirection w:val="lrTb"/>
          <w:docGrid w:type="default" w:linePitch="408" w:charSpace="8192"/>
        </w:sectPr>
      </w:pPr>
    </w:p>
    <w:p>
      <w:pPr>
        <w:pStyle w:val="AWGParties"/>
        <w:numPr>
          <w:ilvl w:val="0"/>
          <w:numId w:val="0"/>
        </w:numPr>
        <w:ind w:left="720" w:hanging="720"/>
        <w:rPr>
          <w:rFonts w:ascii="DejaVu Serif" w:hAnsi="DejaVu Serif"/>
        </w:rPr>
      </w:pPr>
      <w:r>
        <w:rPr/>
      </w:r>
    </w:p>
    <w:p>
      <w:pPr>
        <w:pStyle w:val="AWGBodyText"/>
        <w:jc w:val="center"/>
        <w:rPr>
          <w:rFonts w:ascii="DejaVu Serif" w:hAnsi="DejaVu Serif"/>
        </w:rPr>
      </w:pPr>
      <w:r>
        <w:rPr/>
        <w:t>*</w:t>
        <w:tab/>
        <w:t>*</w:t>
        <w:tab/>
        <w:t>*</w:t>
      </w:r>
    </w:p>
    <w:p>
      <w:pPr>
        <w:sectPr>
          <w:type w:val="continuous"/>
          <w:pgSz w:w="11906" w:h="16838"/>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b/>
        </w:rPr>
        <w:t>IN WITNESS WHEREOF</w:t>
      </w:r>
      <w:r>
        <w:rPr/>
        <w:t>, this Instrument been duly executed and delivered as a deed by the parties hereto on the date on which the Effective Time occurred.</w:t>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20"/>
        <w:gridCol w:w="611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119" w:type="dxa"/>
            <w:tcBorders>
              <w:top w:val="nil"/>
              <w:left w:val="nil"/>
              <w:bottom w:val="nil"/>
              <w:right w:val="nil"/>
            </w:tcBorders>
            <w:shd w:fill="auto" w:val="clear"/>
          </w:tcPr>
          <w:p>
            <w:pPr>
              <w:pStyle w:val="1participant"/>
              <w:spacing w:lineRule="auto" w:line="240" w:before="0" w:after="0"/>
              <w:rPr>
                <w:rFonts w:ascii="DejaVu Serif" w:hAnsi="DejaVu Serif"/>
                <w:sz w:val="18"/>
                <w:szCs w:val="18"/>
              </w:rPr>
            </w:pPr>
            <w:bookmarkStart w:id="22" w:name="__DdeLink__1222_389967944331"/>
            <w:r>
              <w:rPr>
                <w:rFonts w:eastAsia="Calibri" w:cs="" w:cstheme="minorBidi" w:eastAsiaTheme="minorHAnsi"/>
                <w:b/>
                <w:bCs/>
                <w:color w:val="auto"/>
                <w:kern w:val="0"/>
                <w:sz w:val="18"/>
                <w:szCs w:val="18"/>
                <w:lang w:val="en-GB" w:eastAsia="ja-JP" w:bidi="ar-SA"/>
              </w:rPr>
              <w:t>${</w:t>
            </w:r>
            <w:r>
              <w:rPr>
                <w:rFonts w:eastAsia="Calibri" w:cs=""/>
                <w:b/>
                <w:bCs/>
                <w:color w:val="000000"/>
                <w:kern w:val="0"/>
                <w:sz w:val="18"/>
                <w:szCs w:val="18"/>
                <w:lang w:val="en-US" w:eastAsia="ja-JP" w:bidi="ar-SA"/>
              </w:rPr>
              <w:t>securedParty</w:t>
            </w:r>
            <w:r>
              <w:rPr>
                <w:rFonts w:eastAsia="Calibri" w:cs="" w:cstheme="minorBidi" w:eastAsiaTheme="minorHAnsi"/>
                <w:b/>
                <w:bCs/>
                <w:color w:val="auto"/>
                <w:kern w:val="0"/>
                <w:sz w:val="18"/>
                <w:szCs w:val="18"/>
                <w:lang w:val="en-GB" w:eastAsia="ja-JP" w:bidi="ar-SA"/>
              </w:rPr>
              <w:t>.name}</w:t>
            </w:r>
            <w:r>
              <w:rPr>
                <w:rFonts w:eastAsia="Calibri" w:cs="" w:cstheme="minorBidi" w:eastAsiaTheme="minorHAnsi"/>
                <w:b w:val="false"/>
                <w:bCs w:val="false"/>
                <w:color w:val="auto"/>
                <w:kern w:val="0"/>
                <w:sz w:val="18"/>
                <w:szCs w:val="18"/>
                <w:lang w:val="en-GB" w:eastAsia="ja-JP" w:bidi="ar-SA"/>
              </w:rPr>
              <w:t>,</w:t>
            </w:r>
            <w:bookmarkEnd w:id="22"/>
            <w:r>
              <w:rPr>
                <w:rFonts w:eastAsia="Calibri" w:cs="" w:cstheme="minorBidi" w:eastAsiaTheme="minorHAnsi"/>
                <w:b w:val="false"/>
                <w:bCs w:val="false"/>
                <w:color w:val="auto"/>
                <w:kern w:val="0"/>
                <w:sz w:val="18"/>
                <w:szCs w:val="18"/>
                <w:lang w:val="en-GB" w:eastAsia="ja-JP" w:bidi="ar-SA"/>
              </w:rPr>
              <w:t xml:space="preserve"> </w:t>
            </w:r>
            <w:r>
              <w:rPr>
                <w:rFonts w:eastAsia="Calibri" w:cs=""/>
                <w:b w:val="false"/>
                <w:bCs w:val="false"/>
                <w:color w:val="000000"/>
                <w:kern w:val="0"/>
                <w:sz w:val="18"/>
                <w:szCs w:val="18"/>
                <w:lang w:val="en-US" w:eastAsia="ja-JP" w:bidi="ar-SA"/>
              </w:rPr>
              <w:t>as Existing Secured Party, acting in the capacity as indicated in the GATS Security Instrument</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lang w:val="en-US"/>
              </w:rPr>
            </w:r>
          </w:p>
        </w:tc>
        <w:tc>
          <w:tcPr>
            <w:tcW w:w="6119"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0"/>
            <w:r>
              <w:commentReference w:id="0"/>
            </w:r>
            <w:r>
              <w:rPr/>
            </w:r>
          </w:p>
          <w:p>
            <w:pPr>
              <w:pStyle w:val="AWGBodyText"/>
              <w:spacing w:lineRule="auto" w:line="240" w:before="0" w:after="0"/>
              <w:rPr>
                <w:rFonts w:ascii="DejaVu Serif" w:hAnsi="DejaVu Serif"/>
              </w:rPr>
            </w:pPr>
            <w:r>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rPr>
            </w:pPr>
            <w:r>
              <w:rPr/>
            </w:r>
          </w:p>
        </w:tc>
        <w:tc>
          <w:tcPr>
            <w:tcW w:w="773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sz w:val="18"/>
                <w:szCs w:val="18"/>
                <w:lang w:val="en-US"/>
              </w:rPr>
              <w:t>$</w:t>
            </w:r>
            <w:commentRangeStart w:id="1"/>
            <w:r>
              <w:rPr>
                <w:color w:val="FFFFFF"/>
                <w:sz w:val="18"/>
                <w:szCs w:val="18"/>
                <w:lang w:val="en-US"/>
              </w:rPr>
              <w:t>{tagName}</w:t>
            </w:r>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sz w:val="18"/>
          <w:lang w:val="en-GB"/>
        </w:rPr>
      </w:pPr>
      <w:r>
        <w:rPr>
          <w:rFonts w:ascii="DejaVu Serif" w:hAnsi="DejaVu Serif"/>
          <w:sz w:val="18"/>
          <w:lang w:val="en-GB"/>
        </w:rPr>
      </w:r>
      <w:r>
        <w:br w:type="page"/>
      </w:r>
    </w:p>
    <w:p>
      <w:pPr>
        <w:pStyle w:val="Normal"/>
        <w:rPr>
          <w:rFonts w:ascii="DejaVu Serif" w:hAnsi="DejaVu Serif"/>
          <w:sz w:val="18"/>
          <w:lang w:val="en-GB"/>
        </w:rPr>
      </w:pPr>
      <w:r>
        <w:rPr>
          <w:rFonts w:ascii="DejaVu Serif" w:hAnsi="DejaVu Serif"/>
          <w:sz w:val="18"/>
          <w:lang w:val="en-GB"/>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20"/>
        <w:gridCol w:w="611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119" w:type="dxa"/>
            <w:tcBorders>
              <w:top w:val="nil"/>
              <w:left w:val="nil"/>
              <w:bottom w:val="nil"/>
              <w:right w:val="nil"/>
            </w:tcBorders>
            <w:shd w:fill="auto" w:val="clear"/>
          </w:tcPr>
          <w:p>
            <w:pPr>
              <w:pStyle w:val="1participant"/>
              <w:spacing w:lineRule="auto" w:line="240" w:before="0" w:after="0"/>
              <w:rPr>
                <w:rFonts w:ascii="DejaVu Serif" w:hAnsi="DejaVu Serif"/>
                <w:sz w:val="18"/>
                <w:szCs w:val="18"/>
              </w:rPr>
            </w:pPr>
            <w:bookmarkStart w:id="23" w:name="__DdeLink__1222_3899679443311"/>
            <w:r>
              <w:rPr>
                <w:rFonts w:eastAsia="Calibri" w:cs="" w:cstheme="minorBidi" w:eastAsiaTheme="minorHAnsi"/>
                <w:b/>
                <w:bCs/>
                <w:color w:val="auto"/>
                <w:kern w:val="0"/>
                <w:sz w:val="18"/>
                <w:szCs w:val="18"/>
                <w:lang w:val="en-GB" w:eastAsia="ja-JP" w:bidi="ar-SA"/>
              </w:rPr>
              <w:t>${</w:t>
            </w:r>
            <w:r>
              <w:rPr>
                <w:rFonts w:eastAsia="Calibri" w:cs=""/>
                <w:b/>
                <w:bCs/>
                <w:color w:val="000000"/>
                <w:kern w:val="0"/>
                <w:sz w:val="18"/>
                <w:szCs w:val="18"/>
                <w:lang w:val="en-US" w:eastAsia="ja-JP" w:bidi="ar-SA"/>
              </w:rPr>
              <w:t>newSecuredParty</w:t>
            </w:r>
            <w:r>
              <w:rPr>
                <w:rFonts w:eastAsia="Calibri" w:cs="" w:cstheme="minorBidi" w:eastAsiaTheme="minorHAnsi"/>
                <w:b/>
                <w:bCs/>
                <w:color w:val="auto"/>
                <w:kern w:val="0"/>
                <w:sz w:val="18"/>
                <w:szCs w:val="18"/>
                <w:lang w:val="en-GB" w:eastAsia="ja-JP" w:bidi="ar-SA"/>
              </w:rPr>
              <w:t>.name}</w:t>
            </w:r>
            <w:r>
              <w:rPr>
                <w:rFonts w:eastAsia="Calibri" w:cs="" w:cstheme="minorBidi" w:eastAsiaTheme="minorHAnsi"/>
                <w:b w:val="false"/>
                <w:bCs w:val="false"/>
                <w:color w:val="auto"/>
                <w:kern w:val="0"/>
                <w:sz w:val="18"/>
                <w:szCs w:val="18"/>
                <w:lang w:val="en-GB" w:eastAsia="ja-JP" w:bidi="ar-SA"/>
              </w:rPr>
              <w:t>,</w:t>
            </w:r>
            <w:bookmarkEnd w:id="23"/>
            <w:r>
              <w:rPr>
                <w:rFonts w:eastAsia="Calibri" w:cs="" w:cstheme="minorBidi" w:eastAsiaTheme="minorHAnsi"/>
                <w:b w:val="false"/>
                <w:bCs w:val="false"/>
                <w:color w:val="auto"/>
                <w:kern w:val="0"/>
                <w:sz w:val="18"/>
                <w:szCs w:val="18"/>
                <w:lang w:val="en-GB" w:eastAsia="ja-JP" w:bidi="ar-SA"/>
              </w:rPr>
              <w:t xml:space="preserve"> </w:t>
            </w:r>
            <w:r>
              <w:rPr>
                <w:rFonts w:eastAsia="Calibri" w:cs=""/>
                <w:b w:val="false"/>
                <w:bCs w:val="false"/>
                <w:color w:val="000000"/>
                <w:kern w:val="0"/>
                <w:sz w:val="18"/>
                <w:szCs w:val="18"/>
                <w:lang w:val="en-US" w:eastAsia="ja-JP" w:bidi="ar-SA"/>
              </w:rPr>
              <w:t>as New Secured Party, acting in the capacity as indicated in Schedule 2 (</w:t>
            </w:r>
            <w:r>
              <w:rPr>
                <w:rFonts w:eastAsia="Calibri" w:cs=""/>
                <w:b w:val="false"/>
                <w:bCs w:val="false"/>
                <w:i/>
                <w:color w:val="000000"/>
                <w:kern w:val="0"/>
                <w:sz w:val="18"/>
                <w:szCs w:val="18"/>
                <w:lang w:val="en-US" w:eastAsia="ja-JP" w:bidi="ar-SA"/>
              </w:rPr>
              <w:t>Party Details</w:t>
            </w:r>
            <w:r>
              <w:rPr>
                <w:rFonts w:eastAsia="Calibri" w:cs=""/>
                <w:b w:val="false"/>
                <w:bCs w:val="false"/>
                <w:color w:val="000000"/>
                <w:kern w:val="0"/>
                <w:sz w:val="18"/>
                <w:szCs w:val="18"/>
                <w:lang w:val="en-US" w:eastAsia="ja-JP" w:bidi="ar-SA"/>
              </w:rPr>
              <w:t>)</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lang w:val="en-US"/>
              </w:rPr>
            </w:r>
          </w:p>
        </w:tc>
        <w:tc>
          <w:tcPr>
            <w:tcW w:w="6119"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2"/>
            <w:r>
              <w:commentReference w:id="2"/>
            </w:r>
            <w:r>
              <w:rPr/>
            </w:r>
          </w:p>
          <w:p>
            <w:pPr>
              <w:pStyle w:val="AWGBodyText"/>
              <w:spacing w:lineRule="auto" w:line="240" w:before="0" w:after="0"/>
              <w:rPr>
                <w:rFonts w:ascii="DejaVu Serif" w:hAnsi="DejaVu Serif"/>
              </w:rPr>
            </w:pPr>
            <w:r>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rPr>
            </w:r>
          </w:p>
        </w:tc>
        <w:tc>
          <w:tcPr>
            <w:tcW w:w="773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sz w:val="18"/>
                <w:szCs w:val="18"/>
                <w:lang w:val="en-US"/>
              </w:rPr>
              <w:t>$</w:t>
            </w:r>
            <w:commentRangeStart w:id="3"/>
            <w:r>
              <w:rPr>
                <w:color w:val="FFFFFF"/>
                <w:sz w:val="18"/>
                <w:szCs w:val="18"/>
                <w:lang w:val="en-US"/>
              </w:rPr>
              <w:t>{tagName}</w:t>
            </w:r>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sectPr>
          <w:headerReference w:type="default" r:id="rId6"/>
          <w:footerReference w:type="default" r:id="rId7"/>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3"/>
        </w:numPr>
        <w:rPr>
          <w:rFonts w:ascii="DejaVu Serif" w:hAnsi="DejaVu Serif"/>
        </w:rPr>
      </w:pPr>
      <w:bookmarkStart w:id="25" w:name="_Toc526435856"/>
      <w:r>
        <w:rPr/>
        <w:br/>
      </w:r>
      <w:bookmarkStart w:id="26" w:name="_Ref528695248"/>
      <w:bookmarkEnd w:id="25"/>
      <w:r>
        <w:rPr/>
        <w:t>Description of GATS Trust</w:t>
      </w:r>
      <w:bookmarkEnd w:id="26"/>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2568"/>
        <w:gridCol w:w="945"/>
        <w:gridCol w:w="2132"/>
        <w:gridCol w:w="3398"/>
      </w:tblGrid>
      <w:tr>
        <w:trPr/>
        <w:tc>
          <w:tcPr>
            <w:tcW w:w="2568" w:type="dxa"/>
            <w:tcBorders/>
            <w:shd w:fill="auto" w:val="clear"/>
          </w:tcPr>
          <w:p>
            <w:pPr>
              <w:pStyle w:val="AWGBodyText"/>
              <w:spacing w:lineRule="auto" w:line="240" w:before="0" w:after="0"/>
              <w:rPr>
                <w:b/>
                <w:b/>
              </w:rPr>
            </w:pPr>
            <w:r>
              <w:rPr>
                <w:b/>
              </w:rPr>
              <w:t>Trust Branch</w:t>
            </w:r>
          </w:p>
        </w:tc>
        <w:tc>
          <w:tcPr>
            <w:tcW w:w="945" w:type="dxa"/>
            <w:tcBorders/>
            <w:shd w:fill="auto" w:val="clear"/>
          </w:tcPr>
          <w:p>
            <w:pPr>
              <w:pStyle w:val="AWGBodyText"/>
              <w:spacing w:lineRule="auto" w:line="240" w:before="0" w:after="0"/>
              <w:rPr>
                <w:b/>
                <w:b/>
              </w:rPr>
            </w:pPr>
            <w:r>
              <w:rPr>
                <w:b/>
              </w:rPr>
              <w:t>UIN</w:t>
            </w:r>
          </w:p>
        </w:tc>
        <w:tc>
          <w:tcPr>
            <w:tcW w:w="2132" w:type="dxa"/>
            <w:tcBorders/>
            <w:shd w:fill="auto" w:val="clear"/>
          </w:tcPr>
          <w:p>
            <w:pPr>
              <w:pStyle w:val="AWGBodyText"/>
              <w:spacing w:lineRule="auto" w:line="240" w:before="0" w:after="0"/>
              <w:rPr>
                <w:b/>
                <w:b/>
              </w:rPr>
            </w:pPr>
            <w:r>
              <w:rPr>
                <w:b/>
              </w:rPr>
              <w:t>Name</w:t>
            </w:r>
          </w:p>
        </w:tc>
        <w:tc>
          <w:tcPr>
            <w:tcW w:w="3398" w:type="dxa"/>
            <w:tcBorders/>
            <w:shd w:fill="auto" w:val="clear"/>
          </w:tcPr>
          <w:p>
            <w:pPr>
              <w:pStyle w:val="AWGBodyText"/>
              <w:spacing w:lineRule="auto" w:line="240" w:before="0" w:after="0"/>
              <w:jc w:val="left"/>
              <w:rPr>
                <w:b/>
                <w:b/>
              </w:rPr>
            </w:pPr>
            <w:r>
              <w:rPr>
                <w:b/>
              </w:rPr>
              <w:t>Date of Establishment (E) or Migration (M) into GATS</w:t>
            </w:r>
          </w:p>
        </w:tc>
      </w:tr>
      <w:tr>
        <w:trPr/>
        <w:tc>
          <w:tcPr>
            <w:tcW w:w="2568" w:type="dxa"/>
            <w:tcBorders>
              <w:right w:val="nil"/>
            </w:tcBorders>
            <w:shd w:fill="auto" w:val="clear"/>
            <w:tcMar>
              <w:top w:w="58" w:type="dxa"/>
              <w:left w:w="115" w:type="dxa"/>
              <w:bottom w:w="58" w:type="dxa"/>
              <w:right w:w="115" w:type="dxa"/>
            </w:tcMar>
          </w:tcPr>
          <w:p>
            <w:pPr>
              <w:pStyle w:val="AWGBodyText"/>
              <w:spacing w:lineRule="auto" w:line="240" w:before="0" w:after="0"/>
              <w:jc w:val="left"/>
              <w:rPr>
                <w:color w:val="00B050"/>
              </w:rPr>
            </w:pPr>
            <w:r>
              <w:rPr/>
              <w:t>Ireland (IE)</w:t>
            </w:r>
          </w:p>
        </w:tc>
        <w:tc>
          <w:tcPr>
            <w:tcW w:w="945"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${trust.uin}</w:t>
            </w:r>
          </w:p>
          <w:p>
            <w:pPr>
              <w:pStyle w:val="AWGBodyText"/>
              <w:spacing w:lineRule="auto" w:line="240" w:before="0" w:after="0"/>
              <w:jc w:val="left"/>
              <w:rPr>
                <w:rFonts w:ascii="DejaVu Serif" w:hAnsi="DejaVu Serif"/>
                <w:color w:val="000000"/>
                <w:lang w:val="en-US"/>
              </w:rPr>
            </w:pPr>
            <w:r>
              <w:rPr>
                <w:color w:val="000000"/>
                <w:lang w:val="en-US"/>
              </w:rPr>
            </w:r>
          </w:p>
        </w:tc>
        <w:tc>
          <w:tcPr>
            <w:tcW w:w="2132"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${trust.name}</w:t>
            </w:r>
          </w:p>
        </w:tc>
        <w:tc>
          <w:tcPr>
            <w:tcW w:w="3398" w:type="dxa"/>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${trust.dateEstOrMig} (${trust.EstOrMig})</w:t>
            </w:r>
          </w:p>
        </w:tc>
      </w:tr>
    </w:tbl>
    <w:p>
      <w:pPr>
        <w:sectPr>
          <w:headerReference w:type="default" r:id="rId8"/>
          <w:footerReference w:type="default" r:id="rId9"/>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3"/>
        </w:numPr>
        <w:rPr>
          <w:rFonts w:ascii="DejaVu Serif" w:hAnsi="DejaVu Serif"/>
        </w:rPr>
      </w:pPr>
      <w:r>
        <w:rPr/>
        <w:br/>
      </w:r>
      <w:bookmarkStart w:id="28" w:name="_Ref29981004"/>
      <w:r>
        <w:rPr/>
        <w:t>Party Details</w:t>
      </w:r>
      <w:bookmarkEnd w:id="28"/>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pPr>
            <w:r>
              <w:rPr>
                <w:b/>
              </w:rPr>
              <w:t>1</w:t>
            </w:r>
          </w:p>
        </w:tc>
        <w:tc>
          <w:tcPr>
            <w:tcW w:w="3390" w:type="dxa"/>
            <w:tcBorders/>
            <w:shd w:fill="auto" w:val="clear"/>
          </w:tcPr>
          <w:p>
            <w:pPr>
              <w:pStyle w:val="AWGBodyText"/>
              <w:spacing w:lineRule="auto" w:line="240" w:before="0" w:after="0"/>
              <w:jc w:val="left"/>
              <w:rPr>
                <w:b/>
                <w:b/>
              </w:rPr>
            </w:pPr>
            <w:r>
              <w:rPr>
                <w:b/>
              </w:rPr>
              <w:t>Existing Secured Party</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${securedParty.name}</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${securedParty.id}</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b/>
                <w:b/>
              </w:rPr>
            </w:pPr>
            <w:r>
              <w:rPr>
                <w:b/>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${securedParty.jurisdiction}</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${securedParty.entityType}</w:t>
            </w:r>
          </w:p>
          <w:p>
            <w:pPr>
              <w:pStyle w:val="AWGBodyText"/>
              <w:spacing w:lineRule="auto" w:line="240" w:before="0" w:after="0"/>
              <w:jc w:val="left"/>
              <w:rPr>
                <w:rFonts w:ascii="DejaVu Serif" w:hAnsi="DejaVu Serif"/>
                <w:lang w:val="en-US"/>
              </w:rPr>
            </w:pPr>
            <w:r>
              <w:rPr>
                <w:lang w:val="en-US"/>
              </w:rPr>
            </w:r>
          </w:p>
        </w:tc>
      </w:tr>
    </w:tbl>
    <w:p>
      <w:pPr>
        <w:pStyle w:val="Normal"/>
        <w:rPr>
          <w:rFonts w:ascii="DejaVu Serif" w:hAnsi="DejaVu Serif"/>
          <w:lang w:val="en-GB"/>
        </w:rPr>
      </w:pPr>
      <w:r>
        <w:rPr>
          <w:rFonts w:ascii="DejaVu Serif" w:hAnsi="DejaVu Serif"/>
          <w:lang w:val="en-GB"/>
        </w:rPr>
      </w:r>
      <w:r>
        <w:br w:type="page"/>
      </w:r>
    </w:p>
    <w:p>
      <w:pPr>
        <w:pStyle w:val="Normal"/>
        <w:rPr>
          <w:rFonts w:ascii="DejaVu Serif" w:hAnsi="DejaVu Serif"/>
          <w:lang w:val="en-GB"/>
        </w:rPr>
      </w:pPr>
      <w:r>
        <w:rPr>
          <w:rFonts w:ascii="DejaVu Serif" w:hAnsi="DejaVu Serif"/>
          <w:lang w:val="en-GB"/>
        </w:rPr>
      </w:r>
    </w:p>
    <w:tbl>
      <w:tblPr>
        <w:tblStyle w:val="TableGrid"/>
        <w:tblW w:w="9000"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081"/>
      </w:tblGrid>
      <w:tr>
        <w:trPr/>
        <w:tc>
          <w:tcPr>
            <w:tcW w:w="421" w:type="dxa"/>
            <w:tcBorders/>
            <w:shd w:fill="auto" w:val="clear"/>
          </w:tcPr>
          <w:p>
            <w:pPr>
              <w:pStyle w:val="AWGBodyText"/>
              <w:spacing w:lineRule="auto" w:line="240" w:before="0" w:after="0"/>
              <w:ind w:hanging="0"/>
              <w:jc w:val="left"/>
              <w:rPr>
                <w:rFonts w:ascii="DejaVu Serif" w:hAnsi="DejaVu Serif"/>
              </w:rPr>
            </w:pPr>
            <w:r>
              <w:rPr>
                <w:b/>
                <w:lang w:val="en-US"/>
              </w:rPr>
              <w:t>2</w:t>
            </w:r>
          </w:p>
        </w:tc>
        <w:tc>
          <w:tcPr>
            <w:tcW w:w="3498" w:type="dxa"/>
            <w:tcBorders/>
            <w:shd w:fill="auto" w:val="clear"/>
          </w:tcPr>
          <w:p>
            <w:pPr>
              <w:pStyle w:val="AWGBodyText"/>
              <w:spacing w:lineRule="auto" w:line="240" w:before="0" w:after="0"/>
              <w:jc w:val="left"/>
              <w:rPr>
                <w:rFonts w:ascii="DejaVu Serif" w:hAnsi="DejaVu Serif"/>
              </w:rPr>
            </w:pPr>
            <w:r>
              <w:rPr>
                <w:b/>
                <w:lang w:val="en-US"/>
              </w:rPr>
              <w:t>New Secured Party</w:t>
            </w:r>
          </w:p>
        </w:tc>
        <w:tc>
          <w:tcPr>
            <w:tcW w:w="5081"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081"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${newSecuredParty.name}</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${newSecuredParty.id}</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pPr>
            <w:r>
              <w:rPr>
                <w:lang w:val="en-US"/>
              </w:rPr>
              <w:t>Jurisdiction of formation, incorporation or organisation:</w:t>
            </w:r>
          </w:p>
          <w:p>
            <w:pPr>
              <w:pStyle w:val="AWGBodyText"/>
              <w:spacing w:lineRule="auto" w:line="240" w:before="0" w:after="0"/>
              <w:jc w:val="left"/>
              <w:rPr>
                <w:rFonts w:ascii="DejaVu Serif" w:hAnsi="DejaVu Serif"/>
                <w:lang w:val="en-US"/>
              </w:rPr>
            </w:pPr>
            <w:r>
              <w:rPr>
                <w:lang w:val="en-US"/>
              </w:rPr>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${newSecuredParty.jurisdiction}</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${newSecuredParty.entityType}</w:t>
            </w:r>
          </w:p>
          <w:p>
            <w:pPr>
              <w:pStyle w:val="AWGBodyText"/>
              <w:spacing w:lineRule="auto" w:line="240" w:before="0" w:after="0"/>
              <w:jc w:val="left"/>
              <w:rPr>
                <w:rFonts w:ascii="DejaVu Serif" w:hAnsi="DejaVu Serif"/>
                <w:lang w:val="en-US"/>
              </w:rPr>
            </w:pPr>
            <w:r>
              <w:rPr>
                <w:lang w:val="en-US"/>
              </w:rPr>
            </w:r>
          </w:p>
        </w:tc>
      </w:tr>
      <w:tr>
        <w:trPr>
          <w:trHeight w:val="253" w:hRule="atLeast"/>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ind w:hanging="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b w:val="false"/>
                <w:bCs w:val="false"/>
                <w:lang w:val="en-US"/>
              </w:rPr>
              <w:t>Capacity:</w:t>
            </w:r>
          </w:p>
        </w:tc>
        <w:tc>
          <w:tcPr>
            <w:tcW w:w="5081" w:type="dxa"/>
            <w:tcBorders>
              <w:top w:val="nil"/>
            </w:tcBorders>
            <w:shd w:fill="auto" w:val="clear"/>
            <w:tcMar>
              <w:top w:w="29" w:type="dxa"/>
              <w:left w:w="115" w:type="dxa"/>
              <w:bottom w:w="29" w:type="dxa"/>
              <w:right w:w="115" w:type="dxa"/>
            </w:tcMar>
          </w:tcPr>
          <w:tbl>
            <w:tblPr>
              <w:tblW w:w="5221" w:type="dxa"/>
              <w:jc w:val="left"/>
              <w:tblInd w:w="0" w:type="dxa"/>
              <w:tblCellMar>
                <w:top w:w="55" w:type="dxa"/>
                <w:left w:w="55" w:type="dxa"/>
                <w:bottom w:w="55" w:type="dxa"/>
                <w:right w:w="55" w:type="dxa"/>
              </w:tblCellMar>
            </w:tblPr>
            <w:tblGrid>
              <w:gridCol w:w="817"/>
              <w:gridCol w:w="4403"/>
            </w:tblGrid>
            <w:tr>
              <w:trPr/>
              <w:tc>
                <w:tcPr>
                  <w:tcW w:w="817" w:type="dxa"/>
                  <w:tcBorders/>
                  <w:shd w:fill="auto" w:val="clear"/>
                  <w:vAlign w:val="center"/>
                </w:tcPr>
                <w:tbl>
                  <w:tblPr>
                    <w:tblW w:w="707" w:type="dxa"/>
                    <w:jc w:val="left"/>
                    <w:tblInd w:w="0" w:type="dxa"/>
                    <w:tblCellMar>
                      <w:top w:w="55" w:type="dxa"/>
                      <w:left w:w="55" w:type="dxa"/>
                      <w:bottom w:w="55" w:type="dxa"/>
                      <w:right w:w="55" w:type="dxa"/>
                    </w:tblCellMar>
                  </w:tblPr>
                  <w:tblGrid>
                    <w:gridCol w:w="707"/>
                  </w:tblGrid>
                  <w:tr>
                    <w:trPr/>
                    <w:tc>
                      <w:tcPr>
                        <w:tcW w:w="707" w:type="dxa"/>
                        <w:tcBorders>
                          <w:top w:val="single" w:sz="2" w:space="0" w:color="000000"/>
                          <w:left w:val="single" w:sz="2" w:space="0" w:color="000000"/>
                          <w:bottom w:val="single" w:sz="2" w:space="0" w:color="000000"/>
                          <w:right w:val="single" w:sz="2" w:space="0" w:color="000000"/>
                        </w:tcBorders>
                        <w:shd w:fill="auto" w:val="clear"/>
                      </w:tcPr>
                      <w:p>
                        <w:pPr>
                          <w:pStyle w:val="TableContents"/>
                          <w:suppressLineNumbers/>
                          <w:spacing w:lineRule="auto" w:line="240" w:before="0" w:after="0"/>
                          <w:jc w:val="center"/>
                          <w:rPr>
                            <w:rFonts w:ascii="DejaVu Serif" w:hAnsi="DejaVu Serif"/>
                          </w:rPr>
                        </w:pPr>
                        <w:r>
                          <w:rPr>
                            <w:rFonts w:ascii="DejaVu Serif" w:hAnsi="DejaVu Serif"/>
                            <w:sz w:val="16"/>
                            <w:szCs w:val="16"/>
                          </w:rPr>
                          <w:t>${securedPartIsAgent}</w:t>
                        </w:r>
                      </w:p>
                    </w:tc>
                  </w:tr>
                </w:tbl>
                <w:p>
                  <w:pPr>
                    <w:pStyle w:val="TableContents"/>
                    <w:suppressLineNumbers/>
                    <w:spacing w:lineRule="auto" w:line="240" w:before="0" w:after="120"/>
                    <w:rPr>
                      <w:rFonts w:ascii="DejaVu Serif" w:hAnsi="DejaVu Serif"/>
                    </w:rPr>
                  </w:pPr>
                  <w:r>
                    <w:rPr>
                      <w:rFonts w:ascii="DejaVu Serif" w:hAnsi="DejaVu Serif"/>
                    </w:rPr>
                  </w:r>
                </w:p>
              </w:tc>
              <w:tc>
                <w:tcPr>
                  <w:tcW w:w="4403" w:type="dxa"/>
                  <w:tcBorders/>
                  <w:shd w:fill="auto" w:val="clear"/>
                  <w:vAlign w:val="center"/>
                </w:tcPr>
                <w:p>
                  <w:pPr>
                    <w:pStyle w:val="AWGBodyText"/>
                    <w:spacing w:lineRule="auto" w:line="240" w:before="120" w:after="120"/>
                    <w:jc w:val="left"/>
                    <w:rPr>
                      <w:rFonts w:ascii="DejaVu Serif" w:hAnsi="DejaVu Serif"/>
                    </w:rPr>
                  </w:pPr>
                  <w:r>
                    <w:rPr>
                      <w:lang w:val="en-US"/>
                    </w:rPr>
                    <w:t>If checked, the Secured Party is acting as agent or trustee on behalf of certain other secured parties</w:t>
                  </w:r>
                </w:p>
              </w:tc>
            </w:tr>
            <w:tr>
              <w:trPr/>
              <w:tc>
                <w:tcPr>
                  <w:tcW w:w="817" w:type="dxa"/>
                  <w:tcBorders/>
                  <w:shd w:fill="auto" w:val="clear"/>
                  <w:vAlign w:val="center"/>
                </w:tcPr>
                <w:tbl>
                  <w:tblPr>
                    <w:tblW w:w="707" w:type="dxa"/>
                    <w:jc w:val="left"/>
                    <w:tblInd w:w="0" w:type="dxa"/>
                    <w:tblCellMar>
                      <w:top w:w="55" w:type="dxa"/>
                      <w:left w:w="55" w:type="dxa"/>
                      <w:bottom w:w="55" w:type="dxa"/>
                      <w:right w:w="55" w:type="dxa"/>
                    </w:tblCellMar>
                  </w:tblPr>
                  <w:tblGrid>
                    <w:gridCol w:w="707"/>
                  </w:tblGrid>
                  <w:tr>
                    <w:trPr/>
                    <w:tc>
                      <w:tcPr>
                        <w:tcW w:w="707" w:type="dxa"/>
                        <w:tcBorders>
                          <w:top w:val="single" w:sz="2" w:space="0" w:color="000000"/>
                          <w:left w:val="single" w:sz="2" w:space="0" w:color="000000"/>
                          <w:bottom w:val="single" w:sz="2" w:space="0" w:color="000000"/>
                          <w:right w:val="single" w:sz="2" w:space="0" w:color="000000"/>
                        </w:tcBorders>
                        <w:shd w:fill="auto" w:val="clear"/>
                      </w:tcPr>
                      <w:p>
                        <w:pPr>
                          <w:pStyle w:val="TableContents"/>
                          <w:suppressLineNumbers/>
                          <w:spacing w:lineRule="auto" w:line="240" w:before="0" w:after="0"/>
                          <w:jc w:val="center"/>
                          <w:rPr>
                            <w:rFonts w:ascii="DejaVu Serif" w:hAnsi="DejaVu Serif"/>
                          </w:rPr>
                        </w:pPr>
                        <w:r>
                          <w:rPr>
                            <w:rFonts w:ascii="DejaVu Serif" w:hAnsi="DejaVu Serif"/>
                            <w:sz w:val="16"/>
                            <w:szCs w:val="16"/>
                          </w:rPr>
                          <w:t>${securedPartIsNotAgent}</w:t>
                        </w:r>
                      </w:p>
                    </w:tc>
                  </w:tr>
                </w:tbl>
                <w:p>
                  <w:pPr>
                    <w:pStyle w:val="TableContents"/>
                    <w:suppressLineNumbers/>
                    <w:spacing w:lineRule="auto" w:line="240" w:before="0" w:after="120"/>
                    <w:rPr>
                      <w:rFonts w:ascii="DejaVu Serif" w:hAnsi="DejaVu Serif"/>
                    </w:rPr>
                  </w:pPr>
                  <w:r>
                    <w:rPr>
                      <w:rFonts w:ascii="DejaVu Serif" w:hAnsi="DejaVu Serif"/>
                    </w:rPr>
                  </w:r>
                </w:p>
              </w:tc>
              <w:tc>
                <w:tcPr>
                  <w:tcW w:w="4403" w:type="dxa"/>
                  <w:tcBorders/>
                  <w:shd w:fill="auto" w:val="clear"/>
                  <w:vAlign w:val="center"/>
                </w:tcPr>
                <w:p>
                  <w:pPr>
                    <w:pStyle w:val="AWGBodyText"/>
                    <w:spacing w:lineRule="auto" w:line="240" w:before="120" w:after="120"/>
                    <w:jc w:val="left"/>
                    <w:rPr>
                      <w:rFonts w:ascii="DejaVu Serif" w:hAnsi="DejaVu Serif"/>
                    </w:rPr>
                  </w:pPr>
                  <w:r>
                    <w:rPr>
                      <w:lang w:val="en-US"/>
                    </w:rPr>
                    <w:t>If checked, the Secured Party is acting in its individual capacity for its own account</w:t>
                  </w:r>
                </w:p>
              </w:tc>
            </w:tr>
          </w:tbl>
          <w:p>
            <w:pPr>
              <w:pStyle w:val="AWGBodyText"/>
              <w:spacing w:lineRule="auto" w:line="240" w:before="0" w:after="0"/>
              <w:jc w:val="left"/>
              <w:rPr>
                <w:rFonts w:ascii="DejaVu Serif" w:hAnsi="DejaVu Serif"/>
                <w:lang w:val="en-US"/>
              </w:rPr>
            </w:pPr>
            <w:r>
              <w:rPr>
                <w:lang w:val="en-US"/>
              </w:rPr>
            </w:r>
          </w:p>
        </w:tc>
      </w:tr>
    </w:tbl>
    <w:p>
      <w:pPr>
        <w:pStyle w:val="Normal"/>
        <w:rPr>
          <w:rFonts w:ascii="DejaVu Serif" w:hAnsi="DejaVu Serif"/>
          <w:lang w:val="en-GB"/>
        </w:rPr>
      </w:pPr>
      <w:r>
        <w:rPr>
          <w:rFonts w:ascii="DejaVu Serif" w:hAnsi="DejaVu Serif"/>
          <w:lang w:val="en-GB"/>
        </w:rPr>
      </w:r>
      <w:r>
        <w:br w:type="page"/>
      </w:r>
    </w:p>
    <w:p>
      <w:pPr>
        <w:pStyle w:val="Normal"/>
        <w:rPr>
          <w:rFonts w:ascii="DejaVu Serif" w:hAnsi="DejaVu Serif"/>
          <w:lang w:val="en-GB"/>
        </w:rPr>
      </w:pPr>
      <w:r>
        <w:rPr>
          <w:rFonts w:ascii="DejaVu Serif" w:hAnsi="DejaVu Serif"/>
          <w:lang w:val="en-GB"/>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rPr>
              <w:t>3</w:t>
            </w:r>
          </w:p>
        </w:tc>
        <w:tc>
          <w:tcPr>
            <w:tcW w:w="3390" w:type="dxa"/>
            <w:tcBorders/>
            <w:shd w:fill="auto" w:val="clear"/>
          </w:tcPr>
          <w:p>
            <w:pPr>
              <w:pStyle w:val="AWGBodyText"/>
              <w:spacing w:lineRule="auto" w:line="240" w:before="0" w:after="0"/>
              <w:jc w:val="left"/>
              <w:rPr>
                <w:rFonts w:ascii="DejaVu Serif" w:hAnsi="DejaVu Serif"/>
                <w:b/>
                <w:b/>
                <w:sz w:val="18"/>
                <w:lang w:val="en-GB"/>
              </w:rPr>
            </w:pPr>
            <w:r>
              <w:rPr>
                <w:b/>
                <w:sz w:val="18"/>
                <w:lang w:val="en-GB"/>
              </w:rPr>
              <w:t>Beneficiary</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${beneficiary.name}</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${beneficiary.id}</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rPr>
            </w:pPr>
            <w:r>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${beneficiary.jurisdiction}</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${beneficiary.entityType}</w:t>
            </w:r>
          </w:p>
          <w:p>
            <w:pPr>
              <w:pStyle w:val="AWGBodyText"/>
              <w:spacing w:lineRule="auto" w:line="240" w:before="0" w:after="0"/>
              <w:jc w:val="left"/>
              <w:rPr>
                <w:rFonts w:ascii="DejaVu Serif" w:hAnsi="DejaVu Serif"/>
                <w:lang w:val="en-US"/>
              </w:rPr>
            </w:pPr>
            <w:r>
              <w:rPr>
                <w:lang w:val="en-US"/>
              </w:rPr>
            </w:r>
          </w:p>
        </w:tc>
      </w:tr>
    </w:tbl>
    <w:p>
      <w:pPr>
        <w:pStyle w:val="Normal"/>
        <w:rPr>
          <w:rFonts w:ascii="DejaVu Serif" w:hAnsi="DejaVu Serif"/>
          <w:lang w:val="en-GB"/>
        </w:rPr>
      </w:pPr>
      <w:r>
        <w:rPr>
          <w:rFonts w:ascii="DejaVu Serif" w:hAnsi="DejaVu Serif"/>
          <w:lang w:val="en-GB"/>
        </w:rPr>
      </w:r>
      <w:r>
        <w:br w:type="page"/>
      </w:r>
    </w:p>
    <w:p>
      <w:pPr>
        <w:pStyle w:val="Normal"/>
        <w:rPr>
          <w:rFonts w:ascii="DejaVu Serif" w:hAnsi="DejaVu Serif"/>
          <w:lang w:val="en-GB"/>
        </w:rPr>
      </w:pPr>
      <w:r>
        <w:rPr>
          <w:rFonts w:ascii="DejaVu Serif" w:hAnsi="DejaVu Serif"/>
          <w:lang w:val="en-GB"/>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rPr>
              <w:t>4</w:t>
            </w:r>
          </w:p>
        </w:tc>
        <w:tc>
          <w:tcPr>
            <w:tcW w:w="3390" w:type="dxa"/>
            <w:tcBorders/>
            <w:shd w:fill="auto" w:val="clear"/>
          </w:tcPr>
          <w:p>
            <w:pPr>
              <w:pStyle w:val="AWGBodyText"/>
              <w:spacing w:lineRule="auto" w:line="240" w:before="0" w:after="0"/>
              <w:jc w:val="left"/>
              <w:rPr>
                <w:rFonts w:ascii="DejaVu Serif" w:hAnsi="DejaVu Serif"/>
                <w:b/>
                <w:b/>
                <w:sz w:val="18"/>
                <w:lang w:val="en-GB"/>
              </w:rPr>
            </w:pPr>
            <w:r>
              <w:rPr>
                <w:b/>
                <w:sz w:val="18"/>
                <w:lang w:val="en-GB"/>
              </w:rPr>
              <w:t>Trustee</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${trustee.name}</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${trustee.id}</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rPr>
            </w:pPr>
            <w:r>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${trustee.jurisdiction}</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${trustee.entityType}</w:t>
            </w:r>
          </w:p>
          <w:p>
            <w:pPr>
              <w:pStyle w:val="AWGBodyText"/>
              <w:spacing w:lineRule="auto" w:line="240" w:before="0" w:after="0"/>
              <w:jc w:val="left"/>
              <w:rPr>
                <w:rFonts w:ascii="DejaVu Serif" w:hAnsi="DejaVu Serif"/>
                <w:lang w:val="en-US"/>
              </w:rPr>
            </w:pPr>
            <w:r>
              <w:rPr>
                <w:lang w:val="en-US"/>
              </w:rPr>
            </w:r>
          </w:p>
        </w:tc>
      </w:tr>
    </w:tbl>
    <w:p>
      <w:pPr>
        <w:sectPr>
          <w:headerReference w:type="default" r:id="rId10"/>
          <w:footerReference w:type="default" r:id="rId11"/>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3"/>
        </w:numPr>
        <w:rPr>
          <w:rFonts w:ascii="DejaVu Serif" w:hAnsi="DejaVu Serif"/>
        </w:rPr>
      </w:pPr>
      <w:r>
        <w:rPr/>
        <w:br/>
      </w:r>
      <w:bookmarkStart w:id="30" w:name="_Ref534645476"/>
      <w:r>
        <w:rPr/>
        <w:t xml:space="preserve">Amendments to Description of </w:t>
      </w:r>
      <w:bookmarkEnd w:id="30"/>
      <w:r>
        <w:rPr/>
        <w:t>GATS Security Documents</w:t>
      </w:r>
    </w:p>
    <w:p>
      <w:pPr>
        <w:pStyle w:val="AWGBodyText"/>
        <w:rPr>
          <w:rFonts w:ascii="DejaVu Serif" w:hAnsi="DejaVu Serif"/>
        </w:rPr>
      </w:pPr>
      <w:r>
        <w:rPr/>
        <w:t>Schedule 4 (</w:t>
      </w:r>
      <w:r>
        <w:rPr>
          <w:i/>
        </w:rPr>
        <w:t>Description of GATS Security Documents</w:t>
      </w:r>
      <w:r>
        <w:rPr/>
        <w:t>) to the GATS Security Instrument shall be deleted in its entirety and replaced with the following:</w:t>
      </w:r>
    </w:p>
    <w:p>
      <w:pPr>
        <w:pStyle w:val="AWGBodyText"/>
        <w:spacing w:before="120" w:after="120"/>
        <w:jc w:val="center"/>
        <w:rPr>
          <w:rFonts w:ascii="DejaVu Serif" w:hAnsi="DejaVu Serif"/>
        </w:rPr>
      </w:pPr>
      <w:r>
        <w:rPr>
          <w:sz w:val="18"/>
          <w:szCs w:val="18"/>
        </w:rPr>
        <w:t>START AMENDED TEXT</w:t>
      </w:r>
    </w:p>
    <w:p>
      <w:pPr>
        <w:pStyle w:val="AWGBodyText"/>
        <w:spacing w:before="120" w:after="120"/>
        <w:jc w:val="center"/>
        <w:rPr>
          <w:rFonts w:ascii="DejaVu Serif" w:hAnsi="DejaVu Serif"/>
          <w:sz w:val="18"/>
          <w:szCs w:val="18"/>
        </w:rPr>
      </w:pPr>
      <w:r>
        <w:rPr>
          <w:sz w:val="18"/>
          <w:szCs w:val="18"/>
        </w:rPr>
      </w:r>
    </w:p>
    <w:tbl>
      <w:tblPr>
        <w:tblStyle w:val="TableGrid"/>
        <w:tblW w:w="9029" w:type="dxa"/>
        <w:jc w:val="left"/>
        <w:tblInd w:w="115" w:type="dxa"/>
        <w:tblCellMar>
          <w:top w:w="58" w:type="dxa"/>
          <w:left w:w="115" w:type="dxa"/>
          <w:bottom w:w="58" w:type="dxa"/>
          <w:right w:w="115" w:type="dxa"/>
        </w:tblCellMar>
        <w:tblLook w:val="04a0" w:noVBand="1" w:noHBand="0" w:lastColumn="0" w:firstColumn="1" w:lastRow="0" w:firstRow="1"/>
      </w:tblPr>
      <w:tblGrid>
        <w:gridCol w:w="349"/>
        <w:gridCol w:w="2261"/>
        <w:gridCol w:w="6419"/>
      </w:tblGrid>
      <w:tr>
        <w:trPr/>
        <w:tc>
          <w:tcPr>
            <w:tcW w:w="349" w:type="dxa"/>
            <w:tcBorders>
              <w:bottom w:val="nil"/>
              <w:right w:val="nil"/>
            </w:tcBorders>
            <w:shd w:fill="auto" w:val="clear"/>
          </w:tcPr>
          <w:p>
            <w:pPr>
              <w:pStyle w:val="AWGBodyText"/>
              <w:numPr>
                <w:ilvl w:val="0"/>
                <w:numId w:val="1"/>
              </w:numPr>
              <w:spacing w:lineRule="auto" w:line="240" w:before="0" w:after="0"/>
              <w:jc w:val="left"/>
              <w:rPr>
                <w:rFonts w:ascii="DejaVu Serif" w:hAnsi="DejaVu Serif"/>
                <w:color w:val="000000"/>
                <w:sz w:val="18"/>
                <w:szCs w:val="18"/>
                <w:lang w:val="en-US"/>
              </w:rPr>
            </w:pPr>
            <w:commentRangeStart w:id="4"/>
            <w:r>
              <w:rPr>
                <w:color w:val="000000"/>
                <w:sz w:val="18"/>
                <w:szCs w:val="18"/>
                <w:lang w:val="en-US"/>
              </w:rPr>
            </w:r>
          </w:p>
        </w:tc>
        <w:tc>
          <w:tcPr>
            <w:tcW w:w="2261" w:type="dxa"/>
            <w:tcBorders>
              <w:bottom w:val="nil"/>
              <w:right w:val="nil"/>
            </w:tcBorders>
            <w:shd w:fill="auto" w:val="clear"/>
          </w:tcPr>
          <w:p>
            <w:pPr>
              <w:pStyle w:val="AWGBodyText"/>
              <w:spacing w:lineRule="auto" w:line="240" w:before="0" w:after="0"/>
              <w:jc w:val="left"/>
              <w:rPr>
                <w:rFonts w:ascii="DejaVu Serif" w:hAnsi="DejaVu Serif"/>
              </w:rPr>
            </w:pPr>
            <w:r>
              <w:rPr>
                <w:color w:val="000000"/>
                <w:sz w:val="18"/>
                <w:szCs w:val="18"/>
                <w:lang w:val="en-US"/>
              </w:rPr>
              <w:t>Name:</w:t>
            </w:r>
          </w:p>
        </w:tc>
        <w:tc>
          <w:tcPr>
            <w:tcW w:w="6419" w:type="dxa"/>
            <w:tcBorders>
              <w:bottom w:val="nil"/>
            </w:tcBorders>
            <w:shd w:fill="auto" w:val="clear"/>
          </w:tcPr>
          <w:p>
            <w:pPr>
              <w:pStyle w:val="AWGBodyText"/>
              <w:spacing w:lineRule="auto" w:line="240" w:before="0" w:after="0"/>
              <w:jc w:val="left"/>
              <w:rPr>
                <w:rFonts w:ascii="DejaVu Serif" w:hAnsi="DejaVu Serif"/>
              </w:rPr>
            </w:pPr>
            <w:r>
              <w:rPr>
                <w:rFonts w:eastAsia="Calibri" w:cs=""/>
                <w:color w:val="000000"/>
                <w:kern w:val="0"/>
                <w:sz w:val="18"/>
                <w:szCs w:val="18"/>
                <w:lang w:val="en-US" w:eastAsia="ja-JP" w:bidi="ar-SA"/>
              </w:rPr>
              <w:t>${name}</w:t>
            </w:r>
          </w:p>
        </w:tc>
      </w:tr>
      <w:tr>
        <w:trPr/>
        <w:tc>
          <w:tcPr>
            <w:tcW w:w="349" w:type="dxa"/>
            <w:tcBorders>
              <w:top w:val="nil"/>
              <w:bottom w:val="nil"/>
              <w:right w:val="nil"/>
            </w:tcBorders>
            <w:shd w:fill="auto" w:val="clear"/>
          </w:tcPr>
          <w:p>
            <w:pPr>
              <w:pStyle w:val="AWGBodyText"/>
              <w:spacing w:lineRule="auto" w:line="240" w:before="0" w:after="0"/>
              <w:jc w:val="left"/>
              <w:rPr>
                <w:rFonts w:ascii="DejaVu Serif" w:hAnsi="DejaVu Serif"/>
                <w:b/>
                <w:b/>
                <w:color w:val="000000"/>
                <w:sz w:val="18"/>
                <w:szCs w:val="18"/>
                <w:lang w:val="en-US"/>
              </w:rPr>
            </w:pPr>
            <w:r>
              <w:rPr>
                <w:b/>
                <w:color w:val="000000"/>
                <w:sz w:val="18"/>
                <w:szCs w:val="18"/>
                <w:lang w:val="en-US"/>
              </w:rPr>
            </w:r>
          </w:p>
        </w:tc>
        <w:tc>
          <w:tcPr>
            <w:tcW w:w="2261" w:type="dxa"/>
            <w:tcBorders>
              <w:top w:val="nil"/>
              <w:bottom w:val="nil"/>
              <w:right w:val="nil"/>
            </w:tcBorders>
            <w:shd w:fill="auto" w:val="clear"/>
          </w:tcPr>
          <w:p>
            <w:pPr>
              <w:pStyle w:val="AWGBodyText"/>
              <w:spacing w:lineRule="auto" w:line="240" w:before="0" w:after="0"/>
              <w:jc w:val="left"/>
              <w:rPr>
                <w:rFonts w:ascii="DejaVu Serif" w:hAnsi="DejaVu Serif"/>
              </w:rPr>
            </w:pPr>
            <w:r>
              <w:rPr>
                <w:color w:val="000000"/>
                <w:sz w:val="18"/>
                <w:szCs w:val="18"/>
                <w:lang w:val="en-US"/>
              </w:rPr>
              <w:t>GATS Transaction ID:</w:t>
            </w:r>
          </w:p>
        </w:tc>
        <w:tc>
          <w:tcPr>
            <w:tcW w:w="6419"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 w:val="18"/>
                <w:szCs w:val="18"/>
                <w:lang w:val="en-GB"/>
              </w:rPr>
              <w:t>${transactionID}</w:t>
            </w:r>
          </w:p>
        </w:tc>
      </w:tr>
      <w:tr>
        <w:trPr/>
        <w:tc>
          <w:tcPr>
            <w:tcW w:w="349" w:type="dxa"/>
            <w:tcBorders>
              <w:top w:val="nil"/>
              <w:bottom w:val="nil"/>
              <w:right w:val="nil"/>
            </w:tcBorders>
            <w:shd w:fill="auto" w:val="clear"/>
          </w:tcPr>
          <w:p>
            <w:pPr>
              <w:pStyle w:val="AWGBodyText"/>
              <w:spacing w:lineRule="auto" w:line="240" w:before="0" w:after="0"/>
              <w:jc w:val="left"/>
              <w:rPr>
                <w:rFonts w:ascii="DejaVu Serif" w:hAnsi="DejaVu Serif"/>
                <w:b/>
                <w:b/>
                <w:color w:val="000000"/>
                <w:sz w:val="18"/>
                <w:szCs w:val="18"/>
                <w:lang w:val="en-US"/>
              </w:rPr>
            </w:pPr>
            <w:r>
              <w:rPr>
                <w:b/>
                <w:color w:val="000000"/>
                <w:sz w:val="18"/>
                <w:szCs w:val="18"/>
                <w:lang w:val="en-US"/>
              </w:rPr>
            </w:r>
          </w:p>
        </w:tc>
        <w:tc>
          <w:tcPr>
            <w:tcW w:w="2261" w:type="dxa"/>
            <w:tcBorders>
              <w:top w:val="nil"/>
              <w:bottom w:val="nil"/>
              <w:right w:val="nil"/>
            </w:tcBorders>
            <w:shd w:fill="auto" w:val="clear"/>
          </w:tcPr>
          <w:p>
            <w:pPr>
              <w:pStyle w:val="AWGBodyText"/>
              <w:spacing w:lineRule="auto" w:line="240" w:before="0" w:after="0"/>
              <w:jc w:val="left"/>
              <w:rPr>
                <w:rFonts w:ascii="DejaVu Serif" w:hAnsi="DejaVu Serif"/>
              </w:rPr>
            </w:pPr>
            <w:r>
              <w:rPr>
                <w:color w:val="000000"/>
                <w:sz w:val="18"/>
                <w:szCs w:val="18"/>
                <w:lang w:val="en-US"/>
              </w:rPr>
              <w:t>Trust Branch:</w:t>
            </w:r>
          </w:p>
        </w:tc>
        <w:tc>
          <w:tcPr>
            <w:tcW w:w="6419" w:type="dxa"/>
            <w:tcBorders>
              <w:top w:val="nil"/>
              <w:bottom w:val="nil"/>
            </w:tcBorders>
            <w:shd w:fill="auto" w:val="clear"/>
          </w:tcPr>
          <w:p>
            <w:pPr>
              <w:pStyle w:val="AWGBodyText"/>
              <w:spacing w:lineRule="auto" w:line="240" w:before="0" w:after="0"/>
              <w:jc w:val="left"/>
              <w:rPr>
                <w:rFonts w:ascii="DejaVu Serif" w:hAnsi="DejaVu Serif" w:eastAsia="Calibri" w:cs=""/>
                <w:color w:val="000000"/>
                <w:kern w:val="0"/>
                <w:sz w:val="18"/>
                <w:szCs w:val="20"/>
                <w:lang w:val="en-US" w:eastAsia="ja-JP" w:bidi="ar-SA"/>
              </w:rPr>
            </w:pPr>
            <w:r>
              <w:rPr>
                <w:rFonts w:eastAsia="Calibri" w:cs=""/>
                <w:color w:val="000000"/>
                <w:kern w:val="0"/>
                <w:sz w:val="18"/>
                <w:szCs w:val="18"/>
                <w:lang w:val="en-US" w:eastAsia="ja-JP" w:bidi="ar-SA"/>
              </w:rPr>
              <w:t>Ireland (IE)</w:t>
            </w:r>
          </w:p>
        </w:tc>
      </w:tr>
      <w:tr>
        <w:trPr/>
        <w:tc>
          <w:tcPr>
            <w:tcW w:w="349" w:type="dxa"/>
            <w:tcBorders>
              <w:top w:val="nil"/>
              <w:bottom w:val="nil"/>
              <w:right w:val="nil"/>
            </w:tcBorders>
            <w:shd w:fill="auto" w:val="clear"/>
          </w:tcPr>
          <w:p>
            <w:pPr>
              <w:pStyle w:val="AWGBodyText"/>
              <w:spacing w:lineRule="auto" w:line="240" w:before="0" w:after="0"/>
              <w:jc w:val="left"/>
              <w:rPr>
                <w:rFonts w:ascii="DejaVu Serif" w:hAnsi="DejaVu Serif"/>
                <w:b/>
                <w:b/>
                <w:color w:val="000000"/>
                <w:sz w:val="18"/>
                <w:szCs w:val="18"/>
                <w:lang w:val="en-US"/>
              </w:rPr>
            </w:pPr>
            <w:r>
              <w:rPr>
                <w:b/>
                <w:color w:val="000000"/>
                <w:sz w:val="18"/>
                <w:szCs w:val="18"/>
                <w:lang w:val="en-US"/>
              </w:rPr>
            </w:r>
          </w:p>
        </w:tc>
        <w:tc>
          <w:tcPr>
            <w:tcW w:w="2261" w:type="dxa"/>
            <w:tcBorders>
              <w:top w:val="nil"/>
              <w:bottom w:val="nil"/>
              <w:right w:val="nil"/>
            </w:tcBorders>
            <w:shd w:fill="auto" w:val="clear"/>
          </w:tcPr>
          <w:p>
            <w:pPr>
              <w:pStyle w:val="AWGBodyText"/>
              <w:spacing w:lineRule="auto" w:line="240" w:before="0" w:after="0"/>
              <w:jc w:val="left"/>
              <w:rPr>
                <w:rFonts w:ascii="DejaVu Serif" w:hAnsi="DejaVu Serif"/>
              </w:rPr>
            </w:pPr>
            <w:r>
              <w:rPr>
                <w:color w:val="000000"/>
                <w:sz w:val="18"/>
                <w:szCs w:val="18"/>
              </w:rPr>
              <w:t>GATS Form Version:</w:t>
            </w:r>
          </w:p>
        </w:tc>
        <w:tc>
          <w:tcPr>
            <w:tcW w:w="6419" w:type="dxa"/>
            <w:tcBorders>
              <w:top w:val="nil"/>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1.0</w:t>
            </w:r>
          </w:p>
        </w:tc>
      </w:tr>
      <w:tr>
        <w:trPr/>
        <w:tc>
          <w:tcPr>
            <w:tcW w:w="349" w:type="dxa"/>
            <w:tcBorders>
              <w:top w:val="nil"/>
              <w:bottom w:val="nil"/>
              <w:right w:val="nil"/>
            </w:tcBorders>
            <w:shd w:fill="auto" w:val="clear"/>
          </w:tcPr>
          <w:p>
            <w:pPr>
              <w:pStyle w:val="AWGBodyText"/>
              <w:spacing w:lineRule="auto" w:line="240" w:before="0" w:after="0"/>
              <w:jc w:val="left"/>
              <w:rPr>
                <w:rFonts w:ascii="DejaVu Serif" w:hAnsi="DejaVu Serif"/>
                <w:b/>
                <w:b/>
                <w:color w:val="000000"/>
                <w:sz w:val="18"/>
                <w:szCs w:val="18"/>
                <w:lang w:val="en-US"/>
              </w:rPr>
            </w:pPr>
            <w:r>
              <w:rPr>
                <w:b/>
                <w:color w:val="000000"/>
                <w:sz w:val="18"/>
                <w:szCs w:val="18"/>
                <w:lang w:val="en-US"/>
              </w:rPr>
            </w:r>
          </w:p>
        </w:tc>
        <w:tc>
          <w:tcPr>
            <w:tcW w:w="2261" w:type="dxa"/>
            <w:tcBorders>
              <w:top w:val="nil"/>
              <w:bottom w:val="nil"/>
              <w:right w:val="nil"/>
            </w:tcBorders>
            <w:shd w:fill="auto" w:val="clear"/>
          </w:tcPr>
          <w:p>
            <w:pPr>
              <w:pStyle w:val="AWGBodyText"/>
              <w:spacing w:lineRule="auto" w:line="240" w:before="0" w:after="0"/>
              <w:jc w:val="left"/>
              <w:rPr>
                <w:rFonts w:ascii="DejaVu Serif" w:hAnsi="DejaVu Serif"/>
              </w:rPr>
            </w:pPr>
            <w:r>
              <w:rPr>
                <w:color w:val="000000"/>
                <w:sz w:val="18"/>
                <w:szCs w:val="18"/>
                <w:lang w:val="en-US"/>
              </w:rPr>
              <w:t>Effective Time:</w:t>
            </w:r>
          </w:p>
        </w:tc>
        <w:tc>
          <w:tcPr>
            <w:tcW w:w="6419" w:type="dxa"/>
            <w:tcBorders>
              <w:top w:val="nil"/>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w:t>
            </w:r>
            <w:bookmarkStart w:id="31" w:name="__DdeLink__1160_3275829521"/>
            <w:r>
              <w:rPr>
                <w:color w:val="000000"/>
                <w:sz w:val="18"/>
                <w:szCs w:val="18"/>
                <w:lang w:val="en-US"/>
              </w:rPr>
              <w:t>dateOrEffectiveTime</w:t>
            </w:r>
            <w:bookmarkEnd w:id="31"/>
            <w:r>
              <w:rPr>
                <w:color w:val="000000"/>
                <w:sz w:val="18"/>
                <w:szCs w:val="18"/>
                <w:lang w:val="en-US"/>
              </w:rPr>
              <w:t>}</w:t>
            </w:r>
          </w:p>
        </w:tc>
      </w:tr>
      <w:tr>
        <w:trPr/>
        <w:tc>
          <w:tcPr>
            <w:tcW w:w="349" w:type="dxa"/>
            <w:tcBorders>
              <w:top w:val="nil"/>
              <w:right w:val="nil"/>
            </w:tcBorders>
            <w:shd w:fill="auto" w:val="clear"/>
          </w:tcPr>
          <w:p>
            <w:pPr>
              <w:pStyle w:val="AWGBodyText"/>
              <w:spacing w:lineRule="auto" w:line="240" w:before="0" w:after="0"/>
              <w:jc w:val="left"/>
              <w:rPr>
                <w:rFonts w:ascii="DejaVu Serif" w:hAnsi="DejaVu Serif"/>
                <w:b/>
                <w:b/>
                <w:color w:val="000000"/>
                <w:sz w:val="18"/>
                <w:szCs w:val="18"/>
                <w:lang w:val="en-US"/>
              </w:rPr>
            </w:pPr>
            <w:r>
              <w:rPr>
                <w:b/>
                <w:color w:val="000000"/>
                <w:sz w:val="18"/>
                <w:szCs w:val="18"/>
                <w:lang w:val="en-US"/>
              </w:rPr>
            </w:r>
          </w:p>
        </w:tc>
        <w:tc>
          <w:tcPr>
            <w:tcW w:w="2261" w:type="dxa"/>
            <w:tcBorders>
              <w:top w:val="nil"/>
              <w:right w:val="nil"/>
            </w:tcBorders>
            <w:shd w:fill="auto" w:val="clear"/>
          </w:tcPr>
          <w:p>
            <w:pPr>
              <w:pStyle w:val="AWGBodyText"/>
              <w:spacing w:lineRule="auto" w:line="240" w:before="0" w:after="0"/>
              <w:jc w:val="left"/>
              <w:rPr>
                <w:rFonts w:ascii="DejaVu Serif" w:hAnsi="DejaVu Serif"/>
              </w:rPr>
            </w:pPr>
            <w:r>
              <w:rPr>
                <w:color w:val="000000"/>
                <w:sz w:val="18"/>
                <w:szCs w:val="18"/>
                <w:lang w:val="en-US"/>
              </w:rPr>
              <w:t>Parties:</w:t>
            </w:r>
          </w:p>
        </w:tc>
        <w:tc>
          <w:tcPr>
            <w:tcW w:w="6419" w:type="dxa"/>
            <w:tcBorders>
              <w:top w:val="nil"/>
            </w:tcBorders>
            <w:shd w:fill="auto" w:val="clear"/>
          </w:tcPr>
          <w:p>
            <w:pPr>
              <w:pStyle w:val="AWGBodyText"/>
              <w:spacing w:lineRule="auto" w:line="240" w:before="0" w:after="120"/>
              <w:jc w:val="left"/>
              <w:rPr>
                <w:rFonts w:ascii="DejaVu Serif" w:hAnsi="DejaVu Serif"/>
              </w:rPr>
            </w:pPr>
            <w:r>
              <w:rPr>
                <w:color w:val="000000"/>
                <w:sz w:val="18"/>
                <w:szCs w:val="18"/>
                <w:lang w:val="en-US"/>
              </w:rPr>
              <w:t>${</w:t>
            </w:r>
            <w:bookmarkStart w:id="32" w:name="_Hlk271280811"/>
            <w:bookmarkEnd w:id="32"/>
            <w:r>
              <w:rPr>
                <w:color w:val="000000"/>
                <w:sz w:val="18"/>
                <w:szCs w:val="18"/>
                <w:lang w:val="en-US"/>
              </w:rPr>
              <w:t>parties}</w:t>
            </w:r>
            <w:commentRangeEnd w:id="4"/>
            <w:r>
              <w:commentReference w:id="4"/>
            </w:r>
            <w:r>
              <w:rPr>
                <w:color w:val="000000"/>
                <w:sz w:val="18"/>
                <w:szCs w:val="18"/>
                <w:lang w:val="en-US"/>
              </w:rPr>
            </w:r>
          </w:p>
        </w:tc>
      </w:tr>
    </w:tbl>
    <w:p>
      <w:pPr>
        <w:pStyle w:val="Normal"/>
        <w:spacing w:before="120" w:after="120"/>
        <w:jc w:val="center"/>
        <w:rPr>
          <w:rFonts w:ascii="DejaVu Serif" w:hAnsi="DejaVu Serif"/>
          <w:sz w:val="18"/>
          <w:szCs w:val="18"/>
        </w:rPr>
      </w:pPr>
      <w:r>
        <w:rPr>
          <w:rFonts w:ascii="DejaVu Serif" w:hAnsi="DejaVu Serif"/>
          <w:sz w:val="18"/>
          <w:szCs w:val="18"/>
        </w:rPr>
      </w:r>
    </w:p>
    <w:p>
      <w:pPr>
        <w:pStyle w:val="AWGBodyText"/>
        <w:spacing w:before="120" w:after="120"/>
        <w:jc w:val="center"/>
        <w:rPr>
          <w:rFonts w:ascii="DejaVu Serif" w:hAnsi="DejaVu Serif"/>
        </w:rPr>
      </w:pPr>
      <w:r>
        <w:rPr>
          <w:sz w:val="18"/>
          <w:szCs w:val="18"/>
        </w:rPr>
        <w:t>END AMENDED TEXT</w:t>
      </w:r>
    </w:p>
    <w:p>
      <w:pPr>
        <w:pStyle w:val="AWGBodyText"/>
        <w:spacing w:before="120" w:after="120"/>
        <w:jc w:val="center"/>
        <w:rPr/>
      </w:pPr>
      <w:r>
        <w:rPr/>
      </w:r>
    </w:p>
    <w:sectPr>
      <w:headerReference w:type="default" r:id="rId12"/>
      <w:footerReference w:type="default" r:id="rId13"/>
      <w:type w:val="nextPage"/>
      <w:pgSz w:w="11906" w:h="16838"/>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8T11:15:21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(securedParty.multiLayers)</w:t>
      </w:r>
    </w:p>
  </w:comment>
  <w:comment w:id="1" w:author="Unknown Author" w:date="2019-11-05T09:50:38Z" w:initials="">
    <w:p>
      <w:r>
        <w:rPr>
          <w:rFonts w:ascii="DejaVu Serif" w:hAnsi="DejaVu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DejaVu Serif" w:hAnsi="DejaVu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(securedPartySignatures)</w:t>
      </w:r>
    </w:p>
  </w:comment>
  <w:comment w:id="2" w:author="Unknown Author" w:date="2020-05-05T16:58:53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(newSecuredParty.multiLayers)</w:t>
      </w:r>
    </w:p>
  </w:comment>
  <w:comment w:id="3" w:author="Unknown Author" w:date="2019-11-05T09:50:38Z" w:initials="">
    <w:p>
      <w:r>
        <w:rPr>
          <w:rFonts w:ascii="DejaVu Serif" w:hAnsi="DejaVu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DejaVu Serif" w:hAnsi="DejaVu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(newSecuredPartySignatures)</w:t>
      </w:r>
    </w:p>
  </w:comment>
  <w:comment w:id="4" w:author="Unknown Author" w:date="2020-03-16T18:05:23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(securityDocuments)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Cs w:val="18"/>
      </w:rPr>
    </w:pPr>
    <w:r>
      <w:rPr>
        <w:szCs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3</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11</w:t>
    </w:r>
    <w:r>
      <w:rPr>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2" w:name="__DdeLink__945_3715140610"/>
          <w:r>
            <w:rPr>
              <w:szCs w:val="18"/>
            </w:rPr>
            <w:t>GATS Form Version:</w:t>
          </w:r>
          <w:bookmarkEnd w:id="2"/>
          <w:r>
            <w:rPr>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rPr>
        <w:rFonts w:ascii="DejaVu Serif" w:hAnsi="DejaVu Serif"/>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541" w:hRule="exact"/>
      </w:trPr>
      <w:tc>
        <w:tcPr>
          <w:tcW w:w="7020"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9"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bookmarkStart w:id="3" w:name="__DdeLink__945_37151406105"/>
          <w:r>
            <w:rPr>
              <w:sz w:val="18"/>
              <w:szCs w:val="18"/>
            </w:rPr>
            <w:t>GATS Form Version:</w:t>
          </w:r>
          <w:bookmarkEnd w:id="3"/>
          <w:r>
            <w:rPr>
              <w:sz w:val="18"/>
              <w:szCs w:val="18"/>
            </w:rPr>
            <w:t xml:space="preserve"> </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1.0</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${trust.transactionID}</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000" w:type="dxa"/>
      <w:jc w:val="left"/>
      <w:tblInd w:w="243" w:type="dxa"/>
      <w:tblCellMar>
        <w:top w:w="0" w:type="dxa"/>
        <w:left w:w="243" w:type="dxa"/>
        <w:bottom w:w="0" w:type="dxa"/>
        <w:right w:w="108" w:type="dxa"/>
      </w:tblCellMar>
      <w:tblLook w:val="04a0" w:noVBand="1" w:noHBand="0" w:lastColumn="0" w:firstColumn="1" w:lastRow="0" w:firstRow="1"/>
    </w:tblPr>
    <w:tblGrid>
      <w:gridCol w:w="2565"/>
      <w:gridCol w:w="6434"/>
    </w:tblGrid>
    <w:tr>
      <w:trPr/>
      <w:tc>
        <w:tcPr>
          <w:tcW w:w="256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434"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rPr>
          </w:pPr>
          <w:bookmarkStart w:id="24" w:name="__DdeLink__945_371514061012"/>
          <w:r>
            <w:rPr>
              <w:sz w:val="18"/>
              <w:szCs w:val="18"/>
            </w:rPr>
            <w:t>GATS Form Version:</w:t>
          </w:r>
          <w:bookmarkEnd w:id="24"/>
          <w:r>
            <w:rPr>
              <w:sz w:val="18"/>
              <w:szCs w:val="18"/>
            </w:rPr>
            <w:t xml:space="preserve"> </w:t>
          </w:r>
        </w:p>
      </w:tc>
      <w:tc>
        <w:tcPr>
          <w:tcW w:w="6434"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rPr>
          </w:pPr>
          <w:r>
            <w:rPr>
              <w:rFonts w:cs="Courier New"/>
              <w:sz w:val="18"/>
              <w:szCs w:val="18"/>
            </w:rPr>
            <w:t>1.0</w:t>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rPr>
          </w:pPr>
          <w:r>
            <w:rPr>
              <w:sz w:val="18"/>
              <w:szCs w:val="18"/>
            </w:rPr>
            <w:t>GATS Transaction ID:</w:t>
          </w:r>
        </w:p>
      </w:tc>
      <w:tc>
        <w:tcPr>
          <w:tcW w:w="6434" w:type="dxa"/>
          <w:tcBorders>
            <w:top w:val="nil"/>
            <w:left w:val="nil"/>
            <w:bottom w:val="nil"/>
            <w:right w:val="nil"/>
          </w:tcBorders>
          <w:shd w:fill="auto" w:val="clear"/>
          <w:tcMar>
            <w:left w:w="0" w:type="dxa"/>
            <w:right w:w="0" w:type="dxa"/>
          </w:tcM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000" w:type="dxa"/>
      <w:jc w:val="left"/>
      <w:tblInd w:w="243" w:type="dxa"/>
      <w:tblCellMar>
        <w:top w:w="0" w:type="dxa"/>
        <w:left w:w="243" w:type="dxa"/>
        <w:bottom w:w="0" w:type="dxa"/>
        <w:right w:w="108" w:type="dxa"/>
      </w:tblCellMar>
      <w:tblLook w:val="04a0" w:noVBand="1" w:noHBand="0" w:lastColumn="0" w:firstColumn="1" w:lastRow="0" w:firstRow="1"/>
    </w:tblPr>
    <w:tblGrid>
      <w:gridCol w:w="2565"/>
      <w:gridCol w:w="6434"/>
    </w:tblGrid>
    <w:tr>
      <w:trPr/>
      <w:tc>
        <w:tcPr>
          <w:tcW w:w="256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434"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rPr>
          </w:pPr>
          <w:bookmarkStart w:id="27" w:name="__DdeLink__945_37151406101112"/>
          <w:r>
            <w:rPr>
              <w:sz w:val="18"/>
              <w:szCs w:val="18"/>
            </w:rPr>
            <w:t>GATS Form Version:</w:t>
          </w:r>
          <w:bookmarkEnd w:id="27"/>
          <w:r>
            <w:rPr>
              <w:sz w:val="18"/>
              <w:szCs w:val="18"/>
            </w:rPr>
            <w:t xml:space="preserve"> </w:t>
          </w:r>
        </w:p>
      </w:tc>
      <w:tc>
        <w:tcPr>
          <w:tcW w:w="6434"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rPr>
          </w:pPr>
          <w:r>
            <w:rPr>
              <w:rFonts w:cs="Courier New"/>
              <w:sz w:val="18"/>
              <w:szCs w:val="18"/>
            </w:rPr>
            <w:t>1.0</w:t>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rPr>
          </w:pPr>
          <w:r>
            <w:rPr>
              <w:sz w:val="18"/>
              <w:szCs w:val="18"/>
            </w:rPr>
            <w:t>GATS Transaction ID:</w:t>
          </w:r>
        </w:p>
      </w:tc>
      <w:tc>
        <w:tcPr>
          <w:tcW w:w="6434" w:type="dxa"/>
          <w:tcBorders>
            <w:top w:val="nil"/>
            <w:left w:val="nil"/>
            <w:bottom w:val="nil"/>
            <w:right w:val="nil"/>
          </w:tcBorders>
          <w:shd w:fill="auto" w:val="clear"/>
          <w:tcMar>
            <w:left w:w="0" w:type="dxa"/>
            <w:right w:w="0" w:type="dxa"/>
          </w:tcM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000" w:type="dxa"/>
      <w:jc w:val="left"/>
      <w:tblInd w:w="243" w:type="dxa"/>
      <w:tblCellMar>
        <w:top w:w="0" w:type="dxa"/>
        <w:left w:w="243" w:type="dxa"/>
        <w:bottom w:w="0" w:type="dxa"/>
        <w:right w:w="108" w:type="dxa"/>
      </w:tblCellMar>
      <w:tblLook w:val="04a0" w:noVBand="1" w:noHBand="0" w:lastColumn="0" w:firstColumn="1" w:lastRow="0" w:firstRow="1"/>
    </w:tblPr>
    <w:tblGrid>
      <w:gridCol w:w="2565"/>
      <w:gridCol w:w="6434"/>
    </w:tblGrid>
    <w:tr>
      <w:trPr/>
      <w:tc>
        <w:tcPr>
          <w:tcW w:w="256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434"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rPr>
          </w:pPr>
          <w:bookmarkStart w:id="29" w:name="__DdeLink__945_371514061011111"/>
          <w:r>
            <w:rPr>
              <w:sz w:val="18"/>
              <w:szCs w:val="18"/>
            </w:rPr>
            <w:t>GATS Form Version:</w:t>
          </w:r>
          <w:bookmarkEnd w:id="29"/>
          <w:r>
            <w:rPr>
              <w:sz w:val="18"/>
              <w:szCs w:val="18"/>
            </w:rPr>
            <w:t xml:space="preserve"> </w:t>
          </w:r>
        </w:p>
      </w:tc>
      <w:tc>
        <w:tcPr>
          <w:tcW w:w="6434"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rPr>
          </w:pPr>
          <w:r>
            <w:rPr>
              <w:rFonts w:cs="Courier New"/>
              <w:sz w:val="18"/>
              <w:szCs w:val="18"/>
            </w:rPr>
            <w:t>1.0</w:t>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rPr>
          </w:pPr>
          <w:r>
            <w:rPr>
              <w:sz w:val="18"/>
              <w:szCs w:val="18"/>
            </w:rPr>
            <w:t>GATS Transaction ID:</w:t>
          </w:r>
        </w:p>
      </w:tc>
      <w:tc>
        <w:tcPr>
          <w:tcW w:w="6434" w:type="dxa"/>
          <w:tcBorders>
            <w:top w:val="nil"/>
            <w:left w:val="nil"/>
            <w:bottom w:val="nil"/>
            <w:right w:val="nil"/>
          </w:tcBorders>
          <w:shd w:fill="auto" w:val="clear"/>
          <w:tcMar>
            <w:left w:w="0" w:type="dxa"/>
            <w:right w:w="0" w:type="dxa"/>
          </w:tcM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11</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11</w:t>
    </w:r>
    <w:r>
      <w:rPr>
        <w:szCs w:val="18"/>
      </w:rPr>
      <w:fldChar w:fldCharType="end"/>
    </w:r>
  </w:p>
  <w:tbl>
    <w:tblPr>
      <w:tblStyle w:val="TableGrid"/>
      <w:tblW w:w="9000" w:type="dxa"/>
      <w:jc w:val="left"/>
      <w:tblInd w:w="243" w:type="dxa"/>
      <w:tblCellMar>
        <w:top w:w="0" w:type="dxa"/>
        <w:left w:w="243" w:type="dxa"/>
        <w:bottom w:w="0" w:type="dxa"/>
        <w:right w:w="108" w:type="dxa"/>
      </w:tblCellMar>
      <w:tblLook w:val="04a0" w:noVBand="1" w:noHBand="0" w:lastColumn="0" w:firstColumn="1" w:lastRow="0" w:firstRow="1"/>
    </w:tblPr>
    <w:tblGrid>
      <w:gridCol w:w="2565"/>
      <w:gridCol w:w="6434"/>
    </w:tblGrid>
    <w:tr>
      <w:trPr/>
      <w:tc>
        <w:tcPr>
          <w:tcW w:w="256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434"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rPr>
          </w:pPr>
          <w:bookmarkStart w:id="33" w:name="__DdeLink__945_3715140610112"/>
          <w:r>
            <w:rPr>
              <w:szCs w:val="18"/>
            </w:rPr>
            <w:t>GATS Form Version:</w:t>
          </w:r>
          <w:bookmarkEnd w:id="33"/>
          <w:r>
            <w:rPr>
              <w:szCs w:val="18"/>
            </w:rPr>
            <w:t xml:space="preserve"> </w:t>
          </w:r>
        </w:p>
      </w:tc>
      <w:tc>
        <w:tcPr>
          <w:tcW w:w="6434"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rPr>
          </w:pPr>
          <w:r>
            <w:rPr>
              <w:rFonts w:cs="Courier New"/>
              <w:szCs w:val="18"/>
            </w:rPr>
            <w:t>1.0</w:t>
          </w:r>
        </w:p>
      </w:tc>
    </w:tr>
    <w:tr>
      <w:trPr/>
      <w:tc>
        <w:tcPr>
          <w:tcW w:w="2565" w:type="dxa"/>
          <w:tcBorders>
            <w:top w:val="nil"/>
            <w:left w:val="nil"/>
            <w:bottom w:val="nil"/>
            <w:right w:val="nil"/>
          </w:tcBorders>
          <w:shd w:fill="auto" w:val="clear"/>
          <w:tcMar>
            <w:left w:w="0" w:type="dxa"/>
            <w:right w:w="0" w:type="dxa"/>
          </w:tcMar>
        </w:tcPr>
        <w:p>
          <w:pPr>
            <w:pStyle w:val="Footer"/>
            <w:spacing w:lineRule="auto" w:line="240" w:before="0" w:after="0"/>
            <w:rPr>
              <w:rFonts w:ascii="DejaVu Serif" w:hAnsi="DejaVu Serif"/>
            </w:rPr>
          </w:pPr>
          <w:r>
            <w:rPr>
              <w:szCs w:val="18"/>
            </w:rPr>
            <w:t>GATS Transaction ID:</w:t>
          </w:r>
        </w:p>
      </w:tc>
      <w:tc>
        <w:tcPr>
          <w:tcW w:w="6434" w:type="dxa"/>
          <w:tcBorders>
            <w:top w:val="nil"/>
            <w:left w:val="nil"/>
            <w:bottom w:val="nil"/>
            <w:right w:val="nil"/>
          </w:tcBorders>
          <w:shd w:fill="auto" w:val="clear"/>
          <w:tcMar>
            <w:left w:w="0" w:type="dxa"/>
            <w:right w:w="0" w:type="dxa"/>
          </w:tcMar>
        </w:tcPr>
        <w:p>
          <w:pPr>
            <w:pStyle w:val="Footer"/>
            <w:tabs>
              <w:tab w:val="clear" w:pos="720"/>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SECURITY TRANSFER INSTRUMENT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color w:val="000000"/>
            </w:rPr>
          </w:pPr>
          <w:r>
            <w:rPr>
              <w:color w:val="000000"/>
              <w:sz w:val="18"/>
              <w:szCs w:val="18"/>
              <w:lang w:val="en-GB"/>
            </w:rPr>
            <w:t>GATS TRUST UIN: ${trust.uin}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SECURITY TRANSFER INSTRUMENT (IE)</w:t>
          </w:r>
        </w:p>
      </w:tc>
    </w:tr>
    <w:tr>
      <w:trPr/>
      <w:tc>
        <w:tcPr>
          <w:tcW w:w="9044" w:type="dxa"/>
          <w:tcBorders>
            <w:top w:val="nil"/>
            <w:left w:val="nil"/>
            <w:bottom w:val="nil"/>
            <w:right w:val="nil"/>
          </w:tcBorders>
          <w:shd w:fill="auto" w:val="clear"/>
        </w:tcPr>
        <w:p>
          <w:pPr>
            <w:pStyle w:val="Header"/>
            <w:spacing w:lineRule="auto" w:line="240" w:before="0" w:after="0"/>
            <w:jc w:val="right"/>
            <w:rPr/>
          </w:pPr>
          <w:r>
            <w:rPr>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SECURITY TRANSFER INSTRUMENT (IE)</w:t>
          </w:r>
        </w:p>
      </w:tc>
    </w:tr>
    <w:tr>
      <w:trPr/>
      <w:tc>
        <w:tcPr>
          <w:tcW w:w="9044" w:type="dxa"/>
          <w:tcBorders>
            <w:top w:val="nil"/>
            <w:left w:val="nil"/>
            <w:bottom w:val="nil"/>
            <w:right w:val="nil"/>
          </w:tcBorders>
          <w:shd w:fill="auto" w:val="clear"/>
        </w:tcPr>
        <w:p>
          <w:pPr>
            <w:pStyle w:val="Header"/>
            <w:spacing w:lineRule="auto" w:line="240" w:before="0" w:after="0"/>
            <w:jc w:val="right"/>
            <w:rPr/>
          </w:pPr>
          <w:r>
            <w:rPr>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SECURITY TRANSFER INSTRUMENT (IE)</w:t>
          </w:r>
        </w:p>
      </w:tc>
    </w:tr>
    <w:tr>
      <w:trPr/>
      <w:tc>
        <w:tcPr>
          <w:tcW w:w="9044" w:type="dxa"/>
          <w:tcBorders>
            <w:top w:val="nil"/>
            <w:left w:val="nil"/>
            <w:bottom w:val="nil"/>
            <w:right w:val="nil"/>
          </w:tcBorders>
          <w:shd w:fill="auto" w:val="clear"/>
        </w:tcPr>
        <w:p>
          <w:pPr>
            <w:pStyle w:val="Header"/>
            <w:spacing w:lineRule="auto" w:line="240" w:before="0" w:after="0"/>
            <w:jc w:val="right"/>
            <w:rPr/>
          </w:pPr>
          <w:r>
            <w:rPr>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SECURITY TRANSFER INSTRUMENT (IE)</w:t>
          </w:r>
        </w:p>
      </w:tc>
    </w:tr>
    <w:tr>
      <w:trPr/>
      <w:tc>
        <w:tcPr>
          <w:tcW w:w="9044" w:type="dxa"/>
          <w:tcBorders>
            <w:top w:val="nil"/>
            <w:left w:val="nil"/>
            <w:bottom w:val="nil"/>
            <w:right w:val="nil"/>
          </w:tcBorders>
          <w:shd w:fill="auto" w:val="clear"/>
        </w:tcPr>
        <w:p>
          <w:pPr>
            <w:pStyle w:val="Header"/>
            <w:spacing w:lineRule="auto" w:line="240" w:before="0" w:after="0"/>
            <w:jc w:val="right"/>
            <w:rPr/>
          </w:pPr>
          <w:r>
            <w:rPr>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32"/>
        </w:tabs>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suppressAutoHyphens w:val="true"/>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d50fc4"/>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rFonts w:ascii="DejaVu Serif" w:hAnsi="DejaVu Serif"/>
      <w:sz w:val="18"/>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d50fc4"/>
    <w:pPr>
      <w:spacing w:lineRule="auto" w:line="240" w:before="0" w:after="240"/>
      <w:jc w:val="both"/>
    </w:pPr>
    <w:rPr>
      <w:rFonts w:ascii="DejaVu Serif" w:hAnsi="DejaVu Serif"/>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d50fc4"/>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suppressAutoHyphens w:val="tru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a34b54"/>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Revision">
    <w:name w:val="Revision"/>
    <w:uiPriority w:val="99"/>
    <w:semiHidden/>
    <w:qFormat/>
    <w:rsid w:val="00751fd2"/>
    <w:pPr>
      <w:widowControl/>
      <w:suppressAutoHyphens w:val="true"/>
      <w:bidi w:val="0"/>
      <w:spacing w:lineRule="auto" w:line="240" w:before="0" w:after="0"/>
      <w:jc w:val="left"/>
    </w:pPr>
    <w:rPr>
      <w:rFonts w:ascii="Bookman Old Style" w:hAnsi="Bookman Old Style" w:eastAsia="Calibri" w:cs="" w:cstheme="minorBidi" w:eastAsiaTheme="minorHAnsi"/>
      <w:color w:val="auto"/>
      <w:kern w:val="0"/>
      <w:sz w:val="20"/>
      <w:szCs w:val="20"/>
      <w:lang w:val="en-US" w:eastAsia="ja-JP" w:bidi="ar-SA"/>
    </w:rPr>
  </w:style>
  <w:style w:type="paragraph" w:styleId="AWGBodyText12C" w:customStyle="1">
    <w:name w:val="AWG Body Text 1 (2C)"/>
    <w:basedOn w:val="Normal"/>
    <w:qFormat/>
    <w:rsid w:val="00d50fc4"/>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d50fc4"/>
    <w:pPr>
      <w:widowControl w:val="false"/>
    </w:pPr>
    <w:rPr>
      <w:b/>
      <w:caps/>
    </w:rPr>
  </w:style>
  <w:style w:type="paragraph" w:styleId="AWGNumberedList22C" w:customStyle="1">
    <w:name w:val="AWG Numbered List 2 (2C)"/>
    <w:basedOn w:val="AWGBodyText12C"/>
    <w:next w:val="AWGBodyText12C"/>
    <w:qFormat/>
    <w:rsid w:val="00d50fc4"/>
    <w:pPr/>
    <w:rPr/>
  </w:style>
  <w:style w:type="paragraph" w:styleId="AWGNumberedListAlt32C" w:customStyle="1">
    <w:name w:val="AWG Numbered List Alt 3 (2C)"/>
    <w:basedOn w:val="AWGNumberedList22C"/>
    <w:next w:val="AWGBodyText12C"/>
    <w:qFormat/>
    <w:rsid w:val="00d50fc4"/>
    <w:pPr/>
    <w:rPr/>
  </w:style>
  <w:style w:type="paragraph" w:styleId="AWGNumberedList32C" w:customStyle="1">
    <w:name w:val="AWG Numbered List 3 (2C)"/>
    <w:basedOn w:val="Normal"/>
    <w:next w:val="Normal"/>
    <w:qFormat/>
    <w:rsid w:val="00d50fc4"/>
    <w:pPr>
      <w:spacing w:lineRule="auto" w:line="240"/>
      <w:jc w:val="both"/>
    </w:pPr>
    <w:rPr>
      <w:sz w:val="18"/>
      <w:lang w:val="en-GB"/>
    </w:rPr>
  </w:style>
  <w:style w:type="paragraph" w:styleId="AWGNumberedList42C" w:customStyle="1">
    <w:name w:val="AWG Numbered List 4 (2C)"/>
    <w:basedOn w:val="Normal"/>
    <w:next w:val="Normal"/>
    <w:qFormat/>
    <w:rsid w:val="00d50fc4"/>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d50fc4"/>
    <w:pPr>
      <w:widowControl w:val="false"/>
      <w:spacing w:lineRule="auto" w:line="240"/>
      <w:jc w:val="both"/>
    </w:pPr>
    <w:rPr>
      <w:sz w:val="18"/>
      <w:lang w:val="en-GB"/>
    </w:rPr>
  </w:style>
  <w:style w:type="paragraph" w:styleId="AWGNumberedListAlt42C" w:customStyle="1">
    <w:name w:val="AWG Numbered List Alt 4 (2C)"/>
    <w:basedOn w:val="AWGNumberedList32C"/>
    <w:next w:val="Normal"/>
    <w:qFormat/>
    <w:rsid w:val="00d50fc4"/>
    <w:pPr/>
    <w:rPr/>
  </w:style>
  <w:style w:type="paragraph" w:styleId="AWGDef2C" w:customStyle="1">
    <w:name w:val="AWG Def (2C)"/>
    <w:basedOn w:val="AWGBodyText2C"/>
    <w:qFormat/>
    <w:rsid w:val="00d50fc4"/>
    <w:pPr/>
    <w:rPr/>
  </w:style>
  <w:style w:type="paragraph" w:styleId="AWGDefPara2C" w:customStyle="1">
    <w:name w:val="AWG Def Para (2C)"/>
    <w:basedOn w:val="AWGBodyText12C"/>
    <w:qFormat/>
    <w:rsid w:val="00d50fc4"/>
    <w:pPr/>
    <w:rPr/>
  </w:style>
  <w:style w:type="paragraph" w:styleId="AWGNumberedList52C" w:customStyle="1">
    <w:name w:val="AWG Numbered List 5 (2C)"/>
    <w:basedOn w:val="Normal"/>
    <w:qFormat/>
    <w:rsid w:val="00d50fc4"/>
    <w:pPr>
      <w:spacing w:lineRule="auto" w:line="240"/>
      <w:jc w:val="both"/>
    </w:pPr>
    <w:rPr>
      <w:sz w:val="18"/>
      <w:lang w:val="en-GB"/>
    </w:rPr>
  </w:style>
  <w:style w:type="paragraph" w:styleId="AWGNumberedListAlt52C" w:customStyle="1">
    <w:name w:val="AWG Numbered List Alt 5 (2C)"/>
    <w:basedOn w:val="Normal"/>
    <w:qFormat/>
    <w:rsid w:val="00d50fc4"/>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articipant">
    <w:name w:val="1participant"/>
    <w:basedOn w:val="AWGBodyText"/>
    <w:qFormat/>
    <w:pPr>
      <w:spacing w:lineRule="auto" w:line="240" w:before="0" w:after="0"/>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e61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rsid w:val="00ca4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comments" Target="comment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FCBC-CC1D-4BA1-8FAB-002EA2DE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Application>LibreOffice/6.4.3.2$MacOSX_X86_64 LibreOffice_project/747b5d0ebf89f41c860ec2a39efd7cb15b54f2d8</Application>
  <Pages>11</Pages>
  <Words>2031</Words>
  <Characters>11491</Characters>
  <CharactersWithSpaces>13298</CharactersWithSpaces>
  <Paragraphs>204</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2020-02-27T12:28:00Z</dcterms:created>
  <dc:creator>Pearson, Dominic</dc:creator>
  <dc:description/>
  <dc:language>en-US</dc:language>
  <cp:lastModifiedBy/>
  <cp:lastPrinted>2018-03-23T14:20:00Z</cp:lastPrinted>
  <dcterms:modified xsi:type="dcterms:W3CDTF">2020-10-02T15:00:20Z</dcterms:modified>
  <cp:revision>173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#4850-3750-8218v1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