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comments.xml" ContentType="application/vnd.openxmlformats-officedocument.wordprocessingml.comments+xml"/>
  <Override PartName="/word/footer7.xml" ContentType="application/vnd.openxmlformats-officedocument.wordprocessingml.footer+xml"/>
  <Override PartName="/word/header6.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footer5.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settings.xml" ContentType="application/vnd.openxmlformats-officedocument.wordprocessingml.settings+xml"/>
  <Override PartName="/word/header8.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32"/>
        <w:gridCol w:w="5911"/>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sz w:val="16"/>
                <w:szCs w:val="16"/>
              </w:rPr>
            </w:pPr>
            <w:r>
              <w:rPr>
                <w:sz w:val="16"/>
                <w:szCs w:val="16"/>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sz w:val="16"/>
                <w:szCs w:val="16"/>
              </w:rPr>
            </w:pPr>
            <w:r>
              <w:rPr>
                <w:sz w:val="16"/>
                <w:szCs w:val="16"/>
              </w:rPr>
            </w:r>
          </w:p>
          <w:p>
            <w:pPr>
              <w:pStyle w:val="AWGBodyText"/>
              <w:spacing w:lineRule="auto" w:line="240" w:before="0" w:after="0"/>
              <w:jc w:val="center"/>
              <w:rPr>
                <w:b/>
                <w:b/>
                <w:color w:val="000000" w:themeColor="text1"/>
                <w:sz w:val="32"/>
                <w:szCs w:val="32"/>
              </w:rPr>
            </w:pPr>
            <w:r>
              <w:rPr/>
              <w:drawing>
                <wp:inline distT="0" distB="0" distL="0" distR="0">
                  <wp:extent cx="2171700" cy="100965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2E52D3C9">
                      <wp:simplePos x="0" y="0"/>
                      <wp:positionH relativeFrom="column">
                        <wp:posOffset>3888105</wp:posOffset>
                      </wp:positionH>
                      <wp:positionV relativeFrom="paragraph">
                        <wp:posOffset>232410</wp:posOffset>
                      </wp:positionV>
                      <wp:extent cx="254635" cy="178435"/>
                      <wp:effectExtent l="0" t="0" r="9525" b="9525"/>
                      <wp:wrapNone/>
                      <wp:docPr id="1" name="Text Box 7"/>
                      <a:graphic xmlns:a="http://schemas.openxmlformats.org/drawingml/2006/main">
                        <a:graphicData uri="http://schemas.microsoft.com/office/word/2010/wordprocessingShape">
                          <wps:wsp>
                            <wps:cNvSpPr/>
                            <wps:spPr>
                              <a:xfrm>
                                <a:off x="0" y="0"/>
                                <a:ext cx="254160" cy="17784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06.15pt;margin-top:18.3pt;width:19.95pt;height:13.95pt" wp14:anchorId="2E52D3C9">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Transfer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(Successor Trustee Transaction)</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IRISH TRUST BRANCH</w:t>
            </w:r>
          </w:p>
        </w:tc>
      </w:tr>
      <w:tr>
        <w:trPr/>
        <w:tc>
          <w:tcPr>
            <w:tcW w:w="9043" w:type="dxa"/>
            <w:gridSpan w:val="2"/>
            <w:tcBorders>
              <w:top w:val="nil"/>
              <w:left w:val="nil"/>
              <w:right w:val="nil"/>
            </w:tcBorders>
            <w:shd w:fill="auto" w:val="clear"/>
          </w:tcPr>
          <w:p>
            <w:pPr>
              <w:pStyle w:val="AWGBodyText"/>
              <w:spacing w:lineRule="auto" w:line="240" w:before="0" w:after="0"/>
              <w:rPr>
                <w:rFonts w:ascii="DejaVu Serif" w:hAnsi="DejaVu Serif"/>
              </w:rPr>
            </w:pPr>
            <w:r>
              <w:rPr/>
            </w:r>
          </w:p>
        </w:tc>
      </w:tr>
      <w:tr>
        <w:trPr/>
        <w:tc>
          <w:tcPr>
            <w:tcW w:w="9043" w:type="dxa"/>
            <w:gridSpan w:val="2"/>
            <w:tcBorders>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32"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t>Ireland (IE)</w:t>
            </w:r>
          </w:p>
        </w:tc>
      </w:tr>
      <w:tr>
        <w:trPr/>
        <w:tc>
          <w:tcPr>
            <w:tcW w:w="3132"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color w:val="000000"/>
                <w:sz w:val="18"/>
                <w:lang w:val="en-US"/>
              </w:rPr>
              <w:t>${trust.uin}</w:t>
            </w:r>
          </w:p>
        </w:tc>
      </w:tr>
      <w:tr>
        <w:trPr/>
        <w:tc>
          <w:tcPr>
            <w:tcW w:w="3132"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911"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132" w:type="dxa"/>
            <w:tcBorders>
              <w:top w:val="nil"/>
              <w:left w:val="nil"/>
              <w:bottom w:val="nil"/>
            </w:tcBorders>
            <w:shd w:fill="auto" w:val="clear"/>
          </w:tcPr>
          <w:p>
            <w:pPr>
              <w:pStyle w:val="AWGBodyText"/>
              <w:spacing w:lineRule="auto" w:line="240" w:before="0" w:after="0"/>
              <w:jc w:val="right"/>
              <w:rPr>
                <w:b/>
                <w:b/>
              </w:rPr>
            </w:pPr>
            <w:r>
              <w:rPr>
                <w:b/>
              </w:rPr>
              <w:t>Effective Time:</w:t>
            </w:r>
          </w:p>
        </w:tc>
        <w:tc>
          <w:tcPr>
            <w:tcW w:w="5911" w:type="dxa"/>
            <w:tcBorders>
              <w:top w:val="nil"/>
              <w:bottom w:val="nil"/>
              <w:right w:val="nil"/>
            </w:tcBorders>
            <w:shd w:fill="auto" w:val="clear"/>
          </w:tcPr>
          <w:p>
            <w:pPr>
              <w:pStyle w:val="AWGBodyText"/>
              <w:spacing w:lineRule="auto" w:line="240" w:before="0" w:after="0"/>
              <w:rPr>
                <w:rFonts w:ascii="DejaVu Serif" w:hAnsi="DejaVu Serif"/>
                <w:color w:val="FFFFFF"/>
              </w:rPr>
            </w:pPr>
            <w:bookmarkStart w:id="0" w:name="_Hlk29463587"/>
            <w:bookmarkEnd w:id="0"/>
            <w:r>
              <w:rPr>
                <w:color w:val="FFFFFF"/>
                <w:lang w:val="en-US"/>
              </w:rPr>
              <w:t>${sealSignature}</w:t>
            </w:r>
          </w:p>
        </w:tc>
      </w:tr>
      <w:tr>
        <w:trPr/>
        <w:tc>
          <w:tcPr>
            <w:tcW w:w="3132"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11"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TRANSFER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the EXISTING TRUSTEE in its capacity as the existing trustee of the GATS Trust and, where expressly stated, in its individual capacity as the EXISTING TRUST COMPANY;</w:t>
      </w:r>
    </w:p>
    <w:p>
      <w:pPr>
        <w:pStyle w:val="AWGParties"/>
        <w:numPr>
          <w:ilvl w:val="0"/>
          <w:numId w:val="1"/>
        </w:numPr>
        <w:rPr>
          <w:rFonts w:ascii="DejaVu Serif" w:hAnsi="DejaVu Serif"/>
        </w:rPr>
      </w:pPr>
      <w:r>
        <w:rPr/>
        <w:t>the NEW TRUSTEE in its capacity as the new trustee of the GATS Trust and, where expressly stated, in its individual capacity as the NEW TRUST COMPANY; and</w:t>
      </w:r>
    </w:p>
    <w:p>
      <w:pPr>
        <w:pStyle w:val="AWGParties"/>
        <w:numPr>
          <w:ilvl w:val="0"/>
          <w:numId w:val="1"/>
        </w:numPr>
        <w:rPr>
          <w:rFonts w:ascii="DejaVu Serif" w:hAnsi="DejaVu Serif"/>
        </w:rPr>
      </w:pPr>
      <w:r>
        <w:rPr/>
        <w:t>the BENEFICIARY.</w:t>
      </w:r>
    </w:p>
    <w:p>
      <w:pPr>
        <w:pStyle w:val="AWGParties"/>
        <w:numPr>
          <w:ilvl w:val="0"/>
          <w:numId w:val="0"/>
        </w:numPr>
        <w:spacing w:before="0" w:after="126"/>
        <w:ind w:left="720" w:hanging="720"/>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fmt="decimal"/>
          <w:formProt w:val="false"/>
          <w:titlePg/>
          <w:textDirection w:val="lrTb"/>
          <w:docGrid w:type="default" w:linePitch="408" w:charSpace="8192"/>
        </w:sectPr>
      </w:pPr>
    </w:p>
    <w:p>
      <w:pPr>
        <w:pStyle w:val="AWGNumberedList12C"/>
        <w:numPr>
          <w:ilvl w:val="0"/>
          <w:numId w:val="4"/>
        </w:numPr>
        <w:rPr/>
      </w:pPr>
      <w:bookmarkStart w:id="3" w:name="_Toc525831034"/>
      <w:r>
        <w:rPr>
          <w:rFonts w:ascii="DejaVu Serif" w:hAnsi="DejaVu Serif"/>
        </w:rPr>
        <w:t>Definitions</w:t>
      </w:r>
      <w:bookmarkStart w:id="4" w:name="_Hlk30182140"/>
      <w:bookmarkEnd w:id="3"/>
      <w:bookmarkEnd w:id="4"/>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bookmarkStart w:id="5" w:name="_Hlk30000586"/>
      <w:r>
        <w:rPr>
          <w:rFonts w:ascii="DejaVu Serif" w:hAnsi="DejaVu Serif"/>
          <w:b/>
        </w:rPr>
        <w:t>After Acquired Trust Property</w:t>
      </w:r>
      <w:r>
        <w:rPr>
          <w:rFonts w:ascii="DejaVu Serif" w:hAnsi="DejaVu Serif"/>
        </w:rPr>
        <w:t xml:space="preserve"> means any assets or property (including any rights accrued under any Related Document, and any income or proceeds of the Trust Estate) acquired or held by the Existing Trustee or the Existing Trust Company after the Effective Time which, but for its resignation or removal as trustee of the GATS Trust pursuant to this Instrument, would have formed part of the Trust Estate and been held by it as trustee of the GATS Trust.</w:t>
      </w:r>
      <w:bookmarkEnd w:id="5"/>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6" w:name="__DdeLink__1132_1651906402"/>
      <w:r>
        <w:rPr>
          <w:rFonts w:ascii="DejaVu Serif" w:hAnsi="DejaVu Serif"/>
        </w:rPr>
        <w:t>Schedule</w:t>
      </w:r>
      <w:bookmarkEnd w:id="6"/>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bCs/>
        </w:rPr>
        <w:t xml:space="preserve">Dispute </w:t>
      </w:r>
      <w:r>
        <w:rPr>
          <w:rFonts w:ascii="DejaVu Serif" w:hAnsi="DejaVu Serif"/>
        </w:rPr>
        <w:t xml:space="preserve">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 </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to this Instrument.</w:t>
      </w:r>
    </w:p>
    <w:p>
      <w:pPr>
        <w:pStyle w:val="AWGDef2C"/>
        <w:numPr>
          <w:ilvl w:val="0"/>
          <w:numId w:val="3"/>
        </w:numPr>
        <w:rPr>
          <w:rFonts w:ascii="DejaVu Serif" w:hAnsi="DejaVu Serif"/>
        </w:rPr>
      </w:pPr>
      <w:r>
        <w:rPr>
          <w:rFonts w:ascii="DejaVu Serif" w:hAnsi="DejaVu Serif"/>
          <w:b/>
        </w:rPr>
        <w:t>Existing Trust Company</w:t>
      </w:r>
      <w:r>
        <w:rPr>
          <w:rFonts w:ascii="DejaVu Serif" w:hAnsi="DejaVu Serif"/>
        </w:rPr>
        <w:t xml:space="preserve"> means the person acting as Existing Trustee, not in its capacity as existing trustee but in its individual capacity and for its own account.</w:t>
      </w:r>
    </w:p>
    <w:p>
      <w:pPr>
        <w:pStyle w:val="AWGDef2C"/>
        <w:numPr>
          <w:ilvl w:val="0"/>
          <w:numId w:val="3"/>
        </w:numPr>
        <w:rPr/>
      </w:pPr>
      <w:r>
        <w:rPr>
          <w:rFonts w:ascii="DejaVu Serif" w:hAnsi="DejaVu Serif"/>
          <w:b/>
        </w:rPr>
        <w:t>Existing Trustee</w:t>
      </w:r>
      <w:r>
        <w:rPr>
          <w:rFonts w:ascii="DejaVu Serif" w:hAnsi="DejaVu Serif"/>
        </w:rPr>
        <w:t xml:space="preserve"> means the person identified as the ‘Existing Trustee’ in Schedule 2 (</w:t>
      </w:r>
      <w:r>
        <w:rPr>
          <w:rFonts w:ascii="DejaVu Serif" w:hAnsi="DejaVu Serif"/>
          <w:i/>
        </w:rPr>
        <w:t>Party Details</w:t>
      </w:r>
      <w:r>
        <w:rPr>
          <w:rFonts w:ascii="DejaVu Serif" w:hAnsi="DejaVu Serif"/>
        </w:rPr>
        <w: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Beneficiary and the Existing Trustee, as amended, supplemented, assigned and transferred from time to time prior to the effectiveness of this Instrument as 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rFonts w:ascii="DejaVu Serif" w:hAnsi="DejaVu Serif"/>
        </w:rPr>
      </w:pPr>
      <w:r>
        <w:rPr>
          <w:rFonts w:ascii="DejaVu Serif" w:hAnsi="DejaVu Serif"/>
          <w:b/>
        </w:rPr>
        <w:t>New Trust Company</w:t>
      </w:r>
      <w:r>
        <w:rPr>
          <w:rFonts w:ascii="DejaVu Serif" w:hAnsi="DejaVu Serif"/>
        </w:rPr>
        <w:t xml:space="preserve"> means the person acting as New Trustee, not in its capacity as new trustee but in its individual capacity and for its own account.</w:t>
      </w:r>
    </w:p>
    <w:p>
      <w:pPr>
        <w:pStyle w:val="AWGDef2C"/>
        <w:numPr>
          <w:ilvl w:val="0"/>
          <w:numId w:val="3"/>
        </w:numPr>
        <w:rPr/>
      </w:pPr>
      <w:r>
        <w:rPr>
          <w:rFonts w:ascii="DejaVu Serif" w:hAnsi="DejaVu Serif"/>
          <w:b/>
        </w:rPr>
        <w:t>New Trustee</w:t>
      </w:r>
      <w:r>
        <w:rPr>
          <w:rFonts w:ascii="DejaVu Serif" w:hAnsi="DejaVu Serif"/>
        </w:rPr>
        <w:t xml:space="preserve"> means the person identified as the ‘New Trustee’ in Schedule 2 (</w:t>
      </w:r>
      <w:r>
        <w:rPr>
          <w:rFonts w:ascii="DejaVu Serif" w:hAnsi="DejaVu Serif"/>
          <w:i/>
        </w:rPr>
        <w:t>Party Details</w:t>
      </w:r>
      <w:r>
        <w:rPr>
          <w:rFonts w:ascii="DejaVu Serif" w:hAnsi="DejaVu Serif"/>
        </w:rPr>
        <w:t>).</w:t>
      </w:r>
    </w:p>
    <w:p>
      <w:pPr>
        <w:pStyle w:val="AWGDef2C"/>
        <w:numPr>
          <w:ilvl w:val="0"/>
          <w:numId w:val="3"/>
        </w:numPr>
        <w:rPr/>
      </w:pPr>
      <w:r>
        <w:rPr>
          <w:rFonts w:ascii="DejaVu Serif" w:hAnsi="DejaVu Serif"/>
          <w:b/>
        </w:rPr>
        <w:t>Relevant Trustee Party</w:t>
      </w:r>
      <w:r>
        <w:rPr>
          <w:rFonts w:ascii="DejaVu Serif" w:hAnsi="DejaVu Serif"/>
        </w:rPr>
        <w:t xml:space="preserve"> means </w:t>
      </w:r>
      <w:bookmarkStart w:id="7" w:name="_Hlk31622059"/>
      <w:r>
        <w:rPr>
          <w:rFonts w:ascii="DejaVu Serif" w:hAnsi="DejaVu Serif"/>
        </w:rPr>
        <w:t xml:space="preserve">the New Trustee, unless, pursuant to Section 3.5(a), the remainder of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in which case the ‘Relevant Trustee Party’ means:</w:t>
      </w:r>
      <w:bookmarkEnd w:id="7"/>
    </w:p>
    <w:p>
      <w:pPr>
        <w:pStyle w:val="AWGDefPara2C"/>
        <w:numPr>
          <w:ilvl w:val="1"/>
          <w:numId w:val="3"/>
        </w:numPr>
        <w:rPr/>
      </w:pPr>
      <w:r>
        <w:rPr>
          <w:rFonts w:ascii="DejaVu Serif" w:hAnsi="DejaVu Serif"/>
        </w:rPr>
        <w:t>if section 3.1(b) of the other GATS trust instrument referred to in Section 3.5(a) provides that ‘the Beneficiary intends that the GATS Trust shall hold the Trust Estate’, the GATS Trust; or</w:t>
      </w:r>
    </w:p>
    <w:p>
      <w:pPr>
        <w:pStyle w:val="AWGDefPara2C"/>
        <w:numPr>
          <w:ilvl w:val="1"/>
          <w:numId w:val="3"/>
        </w:numPr>
        <w:rPr/>
      </w:pPr>
      <w:r>
        <w:rPr>
          <w:rFonts w:ascii="DejaVu Serif" w:hAnsi="DejaVu Serif"/>
        </w:rPr>
        <w:t>if section 3.1(b) of the other GATS trust instrument referred to in Section 3.5(a) provides that ‘the Beneficiary intends that the Trustee or the GATS Trust may hold any property forming part of the Trust Estate’, either the GATS Trust (as reconstituted pursuant to such other GATS trust instrument) or the New Trustee, as determined pursuant to the express terms of a written notice executed and delivered by the New Trustee and the Beneficiary to the Existing Trustee prior to or concurrently with this Instrument or, if the New Trustee and the Beneficiary have not executed any such notice, the ‘Relevant Trustee Party’ means the GATS Trust.</w:t>
      </w:r>
    </w:p>
    <w:p>
      <w:pPr>
        <w:pStyle w:val="AWGDef2C"/>
        <w:numPr>
          <w:ilvl w:val="0"/>
          <w:numId w:val="3"/>
        </w:numPr>
        <w:rPr>
          <w:rFonts w:ascii="DejaVu Serif" w:hAnsi="DejaVu Serif"/>
        </w:rPr>
      </w:pPr>
      <w:r>
        <w:rPr>
          <w:rFonts w:ascii="DejaVu Serif" w:hAnsi="DejaVu Serif"/>
          <w:b/>
          <w:color w:val="000000" w:themeColor="text1"/>
        </w:rPr>
        <w:t>Retained Obligations</w:t>
      </w:r>
      <w:r>
        <w:rPr>
          <w:rFonts w:ascii="DejaVu Serif" w:hAnsi="DejaVu Serif"/>
          <w:color w:val="000000" w:themeColor="text1"/>
        </w:rPr>
        <w:t xml:space="preserve"> </w:t>
      </w:r>
      <w:r>
        <w:rPr>
          <w:rFonts w:ascii="DejaVu Serif" w:hAnsi="DejaVu Serif"/>
        </w:rPr>
        <w:t>means all of the Existing Trust Company’s obligations, duties and liabilities under the GATS Trust Documents and the GATS Security Documents, if any, but excluding its Transferred Obligations.</w:t>
      </w:r>
    </w:p>
    <w:p>
      <w:pPr>
        <w:pStyle w:val="AWGDef2C"/>
        <w:numPr>
          <w:ilvl w:val="0"/>
          <w:numId w:val="3"/>
        </w:numPr>
        <w:rPr>
          <w:rFonts w:ascii="DejaVu Serif" w:hAnsi="DejaVu Serif"/>
        </w:rPr>
      </w:pPr>
      <w:r>
        <w:rPr>
          <w:rFonts w:ascii="DejaVu Serif" w:hAnsi="DejaVu Serif"/>
          <w:b/>
          <w:color w:val="000000" w:themeColor="text1"/>
        </w:rPr>
        <w:t xml:space="preserve">Retained Rights </w:t>
      </w:r>
      <w:r>
        <w:rPr>
          <w:rFonts w:ascii="DejaVu Serif" w:hAnsi="DejaVu Serif"/>
        </w:rPr>
        <w:t>means all of the Existing Trust Company’s rights, title and interest in, to and under the GATS Trust Documents and the GATS Security Documents, if any, but excluding its Transferred Rights.</w:t>
      </w:r>
    </w:p>
    <w:p>
      <w:pPr>
        <w:pStyle w:val="AWGDef2C"/>
        <w:numPr>
          <w:ilvl w:val="0"/>
          <w:numId w:val="3"/>
        </w:numPr>
        <w:rPr/>
      </w:pPr>
      <w:r>
        <w:rPr>
          <w:rFonts w:ascii="DejaVu Serif" w:hAnsi="DejaVu Serif"/>
          <w:b/>
          <w:color w:val="000000" w:themeColor="text1"/>
        </w:rPr>
        <w:t>Transferred Obligations</w:t>
      </w:r>
      <w:r>
        <w:rPr>
          <w:rFonts w:ascii="DejaVu Serif" w:hAnsi="DejaVu Serif"/>
          <w:color w:val="000000" w:themeColor="text1"/>
        </w:rPr>
        <w:t xml:space="preserve">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3"/>
        </w:numPr>
        <w:rPr>
          <w:color w:val="auto"/>
        </w:rPr>
      </w:pPr>
      <w:r>
        <w:rPr>
          <w:rFonts w:ascii="DejaVu Serif" w:hAnsi="DejaVu Serif"/>
        </w:rPr>
        <w:t>all of the Existing Trustee’s obligations, duties and liabilities under the GATS Trust Documents and the GATS Security Documents, if any, arising during or required to be performed during any period prior to or after the Effective Time; and</w:t>
      </w:r>
    </w:p>
    <w:p>
      <w:pPr>
        <w:pStyle w:val="AWGDefPara2C"/>
        <w:numPr>
          <w:ilvl w:val="1"/>
          <w:numId w:val="3"/>
        </w:numPr>
        <w:rPr>
          <w:rFonts w:ascii="DejaVu Serif" w:hAnsi="DejaVu Serif"/>
        </w:rPr>
      </w:pPr>
      <w:r>
        <w:rPr>
          <w:rFonts w:ascii="DejaVu Serif" w:hAnsi="DejaVu Serif"/>
        </w:rPr>
        <w:t>all of the Existing Trust Company’s obligations, duties and liabilities under the GATS Trust Documents and the GATS Security Documents, if any, arising during or required to be performed during any period after the Effective Time.</w:t>
      </w:r>
    </w:p>
    <w:p>
      <w:pPr>
        <w:pStyle w:val="AWGDef2C"/>
        <w:numPr>
          <w:ilvl w:val="0"/>
          <w:numId w:val="3"/>
        </w:numPr>
        <w:rPr/>
      </w:pPr>
      <w:r>
        <w:rPr>
          <w:rFonts w:ascii="DejaVu Serif" w:hAnsi="DejaVu Serif"/>
          <w:b/>
          <w:color w:val="000000" w:themeColor="text1"/>
        </w:rPr>
        <w:t xml:space="preserve">Transferred Rights </w:t>
      </w:r>
      <w:r>
        <w:rPr>
          <w:rFonts w:ascii="DejaVu Serif" w:hAnsi="DejaVu Serif"/>
        </w:rPr>
        <w:t xml:space="preserve">means, after giving effect to the amendments referred to in Section </w:t>
      </w:r>
      <w:r>
        <w:rPr>
          <w:rFonts w:ascii="DejaVu Serif" w:hAnsi="DejaVu Serif"/>
        </w:rPr>
        <w:fldChar w:fldCharType="begin"/>
      </w:r>
      <w:r>
        <w:rPr>
          <w:rFonts w:ascii="DejaVu Serif" w:hAnsi="DejaVu Serif"/>
        </w:rPr>
        <w:instrText> REF _Ref26970185 \r \h </w:instrText>
      </w:r>
      <w:r>
        <w:rPr>
          <w:rFonts w:ascii="DejaVu Serif" w:hAnsi="DejaVu Serif"/>
        </w:rPr>
        <w:fldChar w:fldCharType="separate"/>
      </w:r>
      <w:r>
        <w:rPr>
          <w:rFonts w:ascii="DejaVu Serif" w:hAnsi="DejaVu Serif"/>
        </w:rPr>
        <w:t>3.4</w:t>
      </w:r>
      <w:r>
        <w:rPr>
          <w:rFonts w:ascii="DejaVu Serif" w:hAnsi="DejaVu Serif"/>
        </w:rPr>
        <w:fldChar w:fldCharType="end"/>
      </w:r>
      <w:r>
        <w:rPr>
          <w:rFonts w:ascii="DejaVu Serif" w:hAnsi="DejaVu Serif"/>
          <w:color w:val="000000" w:themeColor="text1"/>
        </w:rPr>
        <w:t>:</w:t>
      </w:r>
    </w:p>
    <w:p>
      <w:pPr>
        <w:pStyle w:val="AWGDefPara2C"/>
        <w:numPr>
          <w:ilvl w:val="1"/>
          <w:numId w:val="3"/>
        </w:numPr>
        <w:tabs>
          <w:tab w:val="clear" w:pos="720"/>
          <w:tab w:val="left" w:pos="426" w:leader="none"/>
        </w:tabs>
        <w:rPr>
          <w:rFonts w:ascii="DejaVu Serif" w:hAnsi="DejaVu Serif"/>
        </w:rPr>
      </w:pPr>
      <w:r>
        <w:rPr>
          <w:rFonts w:ascii="DejaVu Serif" w:hAnsi="DejaVu Serif"/>
        </w:rPr>
        <w:t>all of the Existing Trustee’s estates, properties, rights, title, interest, powers and trusts in, to and under the GATS Trust Documents and the GATS Security Documents, if any, arising during or relating to any period prior to or after the Effective Time; and</w:t>
      </w:r>
    </w:p>
    <w:p>
      <w:pPr>
        <w:pStyle w:val="AWGDefPara2C"/>
        <w:numPr>
          <w:ilvl w:val="1"/>
          <w:numId w:val="3"/>
        </w:numPr>
        <w:rPr>
          <w:rFonts w:ascii="DejaVu Serif" w:hAnsi="DejaVu Serif"/>
        </w:rPr>
      </w:pPr>
      <w:r>
        <w:rPr>
          <w:rFonts w:ascii="DejaVu Serif" w:hAnsi="DejaVu Serif"/>
        </w:rPr>
        <w:t>all of the Existing Trust Company’s rights, title and interest in, to and under the GATS Trust Documents and the GATS Security Documents, if any, arising during or relating to any period after the Effective Time.</w:t>
      </w:r>
    </w:p>
    <w:p>
      <w:pPr>
        <w:pStyle w:val="AWGNumberedList12C"/>
        <w:numPr>
          <w:ilvl w:val="0"/>
          <w:numId w:val="4"/>
        </w:numPr>
        <w:rPr>
          <w:rFonts w:ascii="DejaVu Serif" w:hAnsi="DejaVu Serif"/>
        </w:rPr>
      </w:pPr>
      <w:r>
        <w:rPr>
          <w:rFonts w:ascii="DejaVu Serif" w:hAnsi="DejaVu Serif"/>
        </w:rPr>
        <w:t>Trustee Resignation or Removal; Trustee Succession</w:t>
      </w:r>
    </w:p>
    <w:p>
      <w:pPr>
        <w:pStyle w:val="AWGNumberedList22C"/>
        <w:numPr>
          <w:ilvl w:val="1"/>
          <w:numId w:val="4"/>
        </w:numPr>
        <w:rPr>
          <w:rFonts w:ascii="DejaVu Serif" w:hAnsi="DejaVu Serif"/>
        </w:rPr>
      </w:pPr>
      <w:bookmarkStart w:id="8" w:name="_Ref529013377"/>
      <w:bookmarkStart w:id="9" w:name="_Ref528606623"/>
      <w:r>
        <w:rPr>
          <w:rFonts w:ascii="DejaVu Serif" w:hAnsi="DejaVu Serif"/>
        </w:rPr>
        <w:t>Resignation</w:t>
      </w:r>
      <w:bookmarkEnd w:id="9"/>
      <w:r>
        <w:rPr>
          <w:rFonts w:ascii="DejaVu Serif" w:hAnsi="DejaVu Serif"/>
        </w:rPr>
        <w:t xml:space="preserve"> or Removal of Existing Trustee</w:t>
      </w:r>
      <w:bookmarkEnd w:id="8"/>
    </w:p>
    <w:p>
      <w:pPr>
        <w:pStyle w:val="AWGBodyText12C"/>
        <w:rPr/>
      </w:pPr>
      <w:bookmarkStart w:id="10" w:name="_Hlk30001586"/>
      <w:r>
        <w:rPr>
          <w:rFonts w:ascii="DejaVu Serif" w:hAnsi="DejaVu Serif"/>
        </w:rPr>
        <w:t xml:space="preserve">With effect from the Effective Time, the Existing Trust Company resigns or is removed as ‘Trustee’ under the GATS Trust Instrument pursuant to section 11.1 of the Master Terms, as applicable, as determined by the checked box in </w:t>
      </w:r>
      <w:bookmarkEnd w:id="10"/>
      <w:r>
        <w:rPr>
          <w:rFonts w:ascii="DejaVu Serif" w:hAnsi="DejaVu Serif"/>
        </w:rPr>
        <w:t>Schedule 5(</w:t>
      </w:r>
      <w:r>
        <w:rPr>
          <w:rFonts w:ascii="DejaVu Serif" w:hAnsi="DejaVu Serif"/>
          <w:i/>
        </w:rPr>
        <w:t>Trustee Resignation/Removal</w:t>
      </w:r>
      <w:r>
        <w:rPr>
          <w:rFonts w:ascii="DejaVu Serif" w:hAnsi="DejaVu Serif"/>
        </w:rPr>
        <w:t>).</w:t>
      </w:r>
    </w:p>
    <w:p>
      <w:pPr>
        <w:pStyle w:val="AWGNumberedList22C"/>
        <w:numPr>
          <w:ilvl w:val="1"/>
          <w:numId w:val="4"/>
        </w:numPr>
        <w:rPr>
          <w:rFonts w:ascii="DejaVu Serif" w:hAnsi="DejaVu Serif"/>
        </w:rPr>
      </w:pPr>
      <w:bookmarkStart w:id="11" w:name="_Ref26973612"/>
      <w:r>
        <w:rPr>
          <w:rFonts w:ascii="DejaVu Serif" w:hAnsi="DejaVu Serif"/>
        </w:rPr>
        <w:t>Appointment of New Trustee</w:t>
      </w:r>
      <w:bookmarkEnd w:id="11"/>
    </w:p>
    <w:p>
      <w:pPr>
        <w:pStyle w:val="AWGBodyText12C"/>
        <w:rPr>
          <w:rFonts w:ascii="DejaVu Serif" w:hAnsi="DejaVu Serif"/>
        </w:rPr>
      </w:pPr>
      <w:bookmarkStart w:id="12" w:name="_Hlk30001593"/>
      <w:r>
        <w:rPr>
          <w:rFonts w:ascii="DejaVu Serif" w:hAnsi="DejaVu Serif"/>
        </w:rPr>
        <w:t>With effect from the Effective Time, the New Trust Company is appointed as ‘Trustee’ under the GATS Trust Instrument pursuant to section 11.2 of the Master Terms</w:t>
      </w:r>
      <w:bookmarkEnd w:id="12"/>
      <w:r>
        <w:rPr>
          <w:rFonts w:ascii="DejaVu Serif" w:hAnsi="DejaVu Serif"/>
        </w:rPr>
        <w:t>.</w:t>
      </w:r>
    </w:p>
    <w:p>
      <w:pPr>
        <w:pStyle w:val="AWGNumberedList12C"/>
        <w:numPr>
          <w:ilvl w:val="0"/>
          <w:numId w:val="4"/>
        </w:numPr>
        <w:rPr>
          <w:rFonts w:ascii="DejaVu Serif" w:hAnsi="DejaVu Serif"/>
        </w:rPr>
      </w:pPr>
      <w:bookmarkStart w:id="13" w:name="_Toc525831037"/>
      <w:r>
        <w:rPr>
          <w:rFonts w:ascii="DejaVu Serif" w:hAnsi="DejaVu Serif"/>
        </w:rPr>
        <w:t>Assignment and Transfer</w:t>
      </w:r>
      <w:bookmarkEnd w:id="13"/>
    </w:p>
    <w:p>
      <w:pPr>
        <w:pStyle w:val="AWGNumberedList22C"/>
        <w:numPr>
          <w:ilvl w:val="1"/>
          <w:numId w:val="4"/>
        </w:numPr>
        <w:rPr>
          <w:rFonts w:ascii="DejaVu Serif" w:hAnsi="DejaVu Serif"/>
        </w:rPr>
      </w:pPr>
      <w:bookmarkStart w:id="14" w:name="_Ref31647548"/>
      <w:r>
        <w:rPr>
          <w:rFonts w:ascii="DejaVu Serif" w:hAnsi="DejaVu Serif"/>
        </w:rPr>
        <w:t>Assignment and Transfer of Trust Estate</w:t>
      </w:r>
      <w:bookmarkEnd w:id="14"/>
    </w:p>
    <w:p>
      <w:pPr>
        <w:pStyle w:val="AWGNumberedListAlt32C"/>
        <w:numPr>
          <w:ilvl w:val="3"/>
          <w:numId w:val="4"/>
        </w:numPr>
        <w:rPr>
          <w:rFonts w:ascii="DejaVu Serif" w:hAnsi="DejaVu Serif"/>
        </w:rPr>
      </w:pPr>
      <w:bookmarkStart w:id="15" w:name="_Ref30180359"/>
      <w:r>
        <w:rPr>
          <w:rFonts w:ascii="DejaVu Serif" w:hAnsi="DejaVu Serif"/>
        </w:rPr>
        <w:t>With effect from the Effective Time (and in consideration of the sum of US$1.00, which the Existing Trustee acknowledges it has received):</w:t>
      </w:r>
      <w:bookmarkEnd w:id="15"/>
    </w:p>
    <w:p>
      <w:pPr>
        <w:pStyle w:val="AWGNumberedListAlt42C"/>
        <w:numPr>
          <w:ilvl w:val="5"/>
          <w:numId w:val="4"/>
        </w:numPr>
        <w:rPr/>
      </w:pPr>
      <w:r>
        <w:rPr>
          <w:rFonts w:ascii="DejaVu Serif" w:hAnsi="DejaVu Serif"/>
        </w:rPr>
        <w:t>the Existing Trustee assigns and transfers to the Relevant Trustee Party, and there is vested in the Relevant Trustee Party, all of its right, title and interest in and to the Trust Estate (including, to the extent forming part of the Trust Estate, the Aircraft Equipment, if any, identified in Schedule 3 (</w:t>
      </w:r>
      <w:r>
        <w:rPr>
          <w:rFonts w:ascii="DejaVu Serif" w:hAnsi="DejaVu Serif"/>
          <w:i/>
        </w:rPr>
        <w:t>Aircraft Equipment</w:t>
      </w:r>
      <w:r>
        <w:rPr>
          <w:rFonts w:ascii="DejaVu Serif" w:hAnsi="DejaVu Serif"/>
        </w:rPr>
        <w:t>) and any other Aircraft Equipment); and</w:t>
      </w:r>
    </w:p>
    <w:p>
      <w:pPr>
        <w:pStyle w:val="AWGNumberedListAlt42C"/>
        <w:numPr>
          <w:ilvl w:val="5"/>
          <w:numId w:val="4"/>
        </w:numPr>
        <w:rPr>
          <w:rFonts w:ascii="DejaVu Serif" w:hAnsi="DejaVu Serif"/>
        </w:rPr>
      </w:pPr>
      <w:bookmarkStart w:id="16" w:name="_Ref30180360"/>
      <w:r>
        <w:rPr>
          <w:rFonts w:ascii="DejaVu Serif" w:hAnsi="DejaVu Serif"/>
        </w:rPr>
        <w:t>the New Trustee accepts such assignment and transfer.</w:t>
      </w:r>
      <w:bookmarkEnd w:id="16"/>
      <w:r>
        <w:rPr>
          <w:rFonts w:ascii="DejaVu Serif" w:hAnsi="DejaVu Serif"/>
        </w:rPr>
        <w:t xml:space="preserv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Existing Trustee is a party, the Trust Estate is assigned and transferred to the Relevant Trustee Party pursuant to this Instrument “AS IS” and “WHERE IS”.</w:t>
      </w:r>
    </w:p>
    <w:p>
      <w:pPr>
        <w:pStyle w:val="AWGNumberedList22C"/>
        <w:numPr>
          <w:ilvl w:val="1"/>
          <w:numId w:val="4"/>
        </w:numPr>
        <w:rPr>
          <w:rFonts w:ascii="DejaVu Serif" w:hAnsi="DejaVu Serif"/>
        </w:rPr>
      </w:pPr>
      <w:r>
        <w:rPr>
          <w:rFonts w:ascii="DejaVu Serif" w:hAnsi="DejaVu Serif"/>
        </w:rPr>
        <w:t>Assignment and Transfer of Rights and Obligations under GATS Trust Instrument</w:t>
      </w:r>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rFonts w:ascii="DejaVu Serif" w:hAnsi="DejaVu Serif"/>
        </w:rPr>
      </w:pPr>
      <w:r>
        <w:rPr>
          <w:rFonts w:ascii="DejaVu Serif" w:hAnsi="DejaVu Serif"/>
        </w:rPr>
        <w:t>each of the Existing Trustee and the Existing Trust Company assigns and transfers all of its Transferred Rights and all of its Transferred Obligations to, respectively, the New Trustee and the New Trust Company, and agrees that it is no longer entitled to the benefit of any of its Transferred Rights;</w:t>
      </w:r>
    </w:p>
    <w:p>
      <w:pPr>
        <w:pStyle w:val="AWGNumberedListAlt32C"/>
        <w:numPr>
          <w:ilvl w:val="3"/>
          <w:numId w:val="4"/>
        </w:numPr>
        <w:rPr>
          <w:rFonts w:ascii="DejaVu Serif" w:hAnsi="DejaVu Serif"/>
        </w:rPr>
      </w:pPr>
      <w:r>
        <w:rPr>
          <w:rFonts w:ascii="DejaVu Serif" w:hAnsi="DejaVu Serif"/>
        </w:rPr>
        <w:t>each of the New Trustee and the New Trust Company accepts such assignment and transfer, and agrees to perform its Transferred Obligations as the ‘Trustee’ or ‘Trust Company’, as applicable, under the GATS Trust Instrument;</w:t>
      </w:r>
    </w:p>
    <w:p>
      <w:pPr>
        <w:pStyle w:val="AWGNumberedListAlt32C"/>
        <w:numPr>
          <w:ilvl w:val="3"/>
          <w:numId w:val="4"/>
        </w:numPr>
        <w:rPr>
          <w:rFonts w:ascii="DejaVu Serif" w:hAnsi="DejaVu Serif"/>
        </w:rPr>
      </w:pPr>
      <w:r>
        <w:rPr>
          <w:rFonts w:ascii="DejaVu Serif" w:hAnsi="DejaVu Serif"/>
        </w:rPr>
        <w:t>the Beneficiary:</w:t>
      </w:r>
    </w:p>
    <w:p>
      <w:pPr>
        <w:pStyle w:val="AWGNumberedListAlt42C"/>
        <w:numPr>
          <w:ilvl w:val="5"/>
          <w:numId w:val="4"/>
        </w:numPr>
        <w:rPr>
          <w:rFonts w:ascii="DejaVu Serif" w:hAnsi="DejaVu Serif"/>
        </w:rPr>
      </w:pPr>
      <w:r>
        <w:rPr>
          <w:rFonts w:ascii="DejaVu Serif" w:hAnsi="DejaVu Serif"/>
        </w:rPr>
        <w:t>consents to the assignment and transfer to the New Trustee and the New Trust Company of their respective Transferred Rights and their respective Transferred Obligations;</w:t>
      </w:r>
    </w:p>
    <w:p>
      <w:pPr>
        <w:pStyle w:val="AWGNumberedListAlt42C"/>
        <w:numPr>
          <w:ilvl w:val="5"/>
          <w:numId w:val="4"/>
        </w:numPr>
        <w:rPr>
          <w:rFonts w:ascii="DejaVu Serif" w:hAnsi="DejaVu Serif"/>
        </w:rPr>
      </w:pPr>
      <w:r>
        <w:rPr>
          <w:rFonts w:ascii="DejaVu Serif" w:hAnsi="DejaVu Serif"/>
        </w:rPr>
        <w:t>releases each of the Existing Trustee and the Existing Trust Company from all of their respective Transferred Obligations owed to the Beneficiary; and</w:t>
      </w:r>
    </w:p>
    <w:p>
      <w:pPr>
        <w:pStyle w:val="AWGNumberedListAlt42C"/>
        <w:numPr>
          <w:ilvl w:val="5"/>
          <w:numId w:val="4"/>
        </w:numPr>
        <w:rPr>
          <w:rFonts w:ascii="DejaVu Serif" w:hAnsi="DejaVu Serif"/>
        </w:rPr>
      </w:pPr>
      <w:r>
        <w:rPr>
          <w:rFonts w:ascii="DejaVu Serif" w:hAnsi="DejaVu Serif"/>
        </w:rPr>
        <w:t>agrees to perform all of its obligations, duties and liabilities that are Transferred Rights owed to the Beneficiary in favor of the New Trustee or the New Trust Company, as applicable; and</w:t>
      </w:r>
    </w:p>
    <w:p>
      <w:pPr>
        <w:pStyle w:val="AWGNumberedListAlt32C"/>
        <w:numPr>
          <w:ilvl w:val="3"/>
          <w:numId w:val="4"/>
        </w:numPr>
        <w:rPr>
          <w:rFonts w:ascii="DejaVu Serif" w:hAnsi="DejaVu Serif"/>
        </w:rPr>
      </w:pPr>
      <w:bookmarkStart w:id="17" w:name="_Hlk27059515"/>
      <w:r>
        <w:rPr>
          <w:rFonts w:ascii="DejaVu Serif" w:hAnsi="DejaVu Serif"/>
        </w:rPr>
        <w:t>the GATS Trust Instrument is amended to reflect the foregoing, and all references in the GATS Trust Instrument to the Existing Trustee or ‘Trustee’ are amended to refer to the New Trustee, and all references in the GATS Trust Instrument to the Existing Trust Company or ‘Trust Company’ are amended to refer to the New Trust Company</w:t>
      </w:r>
      <w:bookmarkEnd w:id="17"/>
      <w:r>
        <w:rPr>
          <w:rFonts w:ascii="DejaVu Serif" w:hAnsi="DejaVu Serif"/>
        </w:rPr>
        <w:t>.</w:t>
      </w:r>
    </w:p>
    <w:p>
      <w:pPr>
        <w:pStyle w:val="AWGNumberedList22C"/>
        <w:numPr>
          <w:ilvl w:val="1"/>
          <w:numId w:val="4"/>
        </w:numPr>
        <w:rPr>
          <w:rFonts w:ascii="DejaVu Serif" w:hAnsi="DejaVu Serif"/>
        </w:rPr>
      </w:pPr>
      <w:bookmarkStart w:id="18" w:name="_Ref526151655"/>
      <w:r>
        <w:rPr>
          <w:rFonts w:ascii="DejaVu Serif" w:hAnsi="DejaVu Serif"/>
        </w:rPr>
        <w:t>Retained Rights and Retained Obligations</w:t>
      </w:r>
      <w:bookmarkEnd w:id="18"/>
    </w:p>
    <w:p>
      <w:pPr>
        <w:pStyle w:val="AWGBodyText12C"/>
        <w:rPr>
          <w:rFonts w:ascii="DejaVu Serif" w:hAnsi="DejaVu Serif"/>
        </w:rPr>
      </w:pPr>
      <w:r>
        <w:rPr>
          <w:rFonts w:ascii="DejaVu Serif" w:hAnsi="DejaVu Serif"/>
        </w:rPr>
        <w:t>The Existing Trust Company shall remain entitled to the Retained Rights and shall remain bound to perform the Retained Obligations, as if it had remained the ‘Trust Company’ under the GATS Trust Instrument.</w:t>
      </w:r>
    </w:p>
    <w:p>
      <w:pPr>
        <w:pStyle w:val="AWGNumberedList22C"/>
        <w:numPr>
          <w:ilvl w:val="1"/>
          <w:numId w:val="4"/>
        </w:numPr>
        <w:rPr>
          <w:rFonts w:ascii="DejaVu Serif" w:hAnsi="DejaVu Serif"/>
        </w:rPr>
      </w:pPr>
      <w:bookmarkStart w:id="19" w:name="_Ref26970185"/>
      <w:r>
        <w:rPr>
          <w:rFonts w:ascii="DejaVu Serif" w:hAnsi="DejaVu Serif"/>
        </w:rPr>
        <w:t>Amendment to the GATS Trust Instrument</w:t>
      </w:r>
      <w:bookmarkEnd w:id="19"/>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rPr>
        <w:t>schedule 2 (</w:t>
      </w:r>
      <w:r>
        <w:rPr>
          <w:rFonts w:ascii="DejaVu Serif" w:hAnsi="DejaVu Serif"/>
          <w:i/>
        </w:rPr>
        <w:t>Party Details</w:t>
      </w:r>
      <w:r>
        <w:rPr>
          <w:rFonts w:ascii="DejaVu Serif" w:hAnsi="DejaVu Serif"/>
        </w:rPr>
        <w:t>) to the GATS Trust Instrument is amended to reflect the name and details of the New Trustee as the ‘Trustee’ and, if the Beneficiary’s details have also changed, to reflect the updated details of the Beneficiary, in each case as described in Schedule 2 (</w:t>
      </w:r>
      <w:r>
        <w:rPr>
          <w:rFonts w:ascii="DejaVu Serif" w:hAnsi="DejaVu Serif"/>
          <w:i/>
        </w:rPr>
        <w:t>Party Details</w:t>
      </w:r>
      <w:r>
        <w:rPr>
          <w:rFonts w:ascii="DejaVu Serif" w:hAnsi="DejaVu Serif"/>
        </w:rPr>
        <w:t>);</w:t>
      </w:r>
    </w:p>
    <w:p>
      <w:pPr>
        <w:pStyle w:val="AWGNumberedListAlt32C"/>
        <w:numPr>
          <w:ilvl w:val="3"/>
          <w:numId w:val="4"/>
        </w:numPr>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is amended in accordance with Schedule 4 (</w:t>
      </w:r>
      <w:r>
        <w:rPr>
          <w:rFonts w:ascii="DejaVu Serif" w:hAnsi="DejaVu Serif"/>
          <w:i/>
        </w:rPr>
        <w:t>Amendments to Description of GATS Trust Documents</w:t>
      </w:r>
      <w:r>
        <w:rPr>
          <w:rFonts w:ascii="DejaVu Serif" w:hAnsi="DejaVu Serif"/>
        </w:rPr>
        <w:t>); and</w:t>
      </w:r>
    </w:p>
    <w:p>
      <w:pPr>
        <w:pStyle w:val="AWGNumberedListAlt32C"/>
        <w:numPr>
          <w:ilvl w:val="3"/>
          <w:numId w:val="4"/>
        </w:numPr>
        <w:rPr/>
      </w:pPr>
      <w:r>
        <w:rPr>
          <w:rFonts w:ascii="DejaVu Serif" w:hAnsi="DejaVu Serif"/>
        </w:rPr>
        <w:t xml:space="preserve">the GATS Trust Instrument is otherwise amended to reflect the transactions described in Sections </w:t>
      </w:r>
      <w:r>
        <w:rPr>
          <w:rFonts w:ascii="DejaVu Serif" w:hAnsi="DejaVu Serif"/>
        </w:rPr>
        <w:fldChar w:fldCharType="begin"/>
      </w:r>
      <w:r>
        <w:rPr>
          <w:rFonts w:ascii="DejaVu Serif" w:hAnsi="DejaVu Serif"/>
        </w:rPr>
        <w:instrText> REF _Ref31647548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to </w:t>
      </w:r>
      <w:r>
        <w:rPr>
          <w:rFonts w:ascii="DejaVu Serif" w:hAnsi="DejaVu Serif"/>
        </w:rPr>
        <w:fldChar w:fldCharType="begin"/>
      </w:r>
      <w:r>
        <w:rPr>
          <w:rFonts w:ascii="DejaVu Serif" w:hAnsi="DejaVu Serif"/>
        </w:rPr>
        <w:instrText> REF _Ref526151655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if applicable,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w:t>
      </w:r>
    </w:p>
    <w:p>
      <w:pPr>
        <w:pStyle w:val="AWGBodyText12C"/>
        <w:rPr>
          <w:rFonts w:ascii="DejaVu Serif" w:hAnsi="DejaVu Serif"/>
        </w:rPr>
      </w:pPr>
      <w:r>
        <w:rPr>
          <w:rFonts w:ascii="DejaVu Serif" w:hAnsi="DejaVu Serif"/>
        </w:rPr>
        <w:t>Except as amended and supplemented by this Instrument, the GATS Trust Instrument shall remain in full force and effect.</w:t>
      </w:r>
    </w:p>
    <w:p>
      <w:pPr>
        <w:pStyle w:val="AWGNumberedList22C"/>
        <w:numPr>
          <w:ilvl w:val="1"/>
          <w:numId w:val="4"/>
        </w:numPr>
        <w:rPr>
          <w:rFonts w:ascii="DejaVu Serif" w:hAnsi="DejaVu Serif"/>
        </w:rPr>
      </w:pPr>
      <w:bookmarkStart w:id="20" w:name="_Ref26973041"/>
      <w:r>
        <w:rPr>
          <w:rFonts w:ascii="DejaVu Serif" w:hAnsi="DejaVu Serif"/>
        </w:rPr>
        <w:t>Trust Branch Transfer immediately after the Effective Time (if applicable)</w:t>
      </w:r>
      <w:bookmarkEnd w:id="20"/>
    </w:p>
    <w:p>
      <w:pPr>
        <w:pStyle w:val="AWGNumberedListAlt32C"/>
        <w:numPr>
          <w:ilvl w:val="3"/>
          <w:numId w:val="4"/>
        </w:numPr>
        <w:rPr/>
      </w:pPr>
      <w:bookmarkStart w:id="21" w:name="_Ref31395470"/>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_Ref26973041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t xml:space="preserve"> applies if, and only if, immediately after the Effective Time, the GATS Trust Instrument is amended and restated in its entirety pursuant to the terms of another GATS trust instrument in the applicable GATS form for another GATS trust branch.</w:t>
      </w:r>
      <w:bookmarkEnd w:id="21"/>
    </w:p>
    <w:p>
      <w:pPr>
        <w:pStyle w:val="AWGNumberedListAlt32C"/>
        <w:numPr>
          <w:ilvl w:val="3"/>
          <w:numId w:val="4"/>
        </w:numPr>
        <w:rPr/>
      </w:pPr>
      <w:r>
        <w:rPr>
          <w:rFonts w:ascii="DejaVu Serif" w:hAnsi="DejaVu Serif"/>
        </w:rPr>
        <w:t xml:space="preserve">All references in Section </w:t>
      </w:r>
      <w:r>
        <w:rPr>
          <w:rFonts w:ascii="DejaVu Serif" w:hAnsi="DejaVu Serif"/>
        </w:rPr>
        <w:fldChar w:fldCharType="begin"/>
      </w:r>
      <w:r>
        <w:rPr>
          <w:rFonts w:ascii="DejaVu Serif" w:hAnsi="DejaVu Serif"/>
        </w:rPr>
        <w:instrText> REF _Ref26973612 \r \h </w:instrText>
      </w:r>
      <w:r>
        <w:rPr>
          <w:rFonts w:ascii="DejaVu Serif" w:hAnsi="DejaVu Serif"/>
        </w:rPr>
        <w:fldChar w:fldCharType="separate"/>
      </w:r>
      <w:r>
        <w:rPr>
          <w:rFonts w:ascii="DejaVu Serif" w:hAnsi="DejaVu Serif"/>
        </w:rPr>
        <w:t>2.2</w:t>
      </w:r>
      <w:r>
        <w:rPr>
          <w:rFonts w:ascii="DejaVu Serif" w:hAnsi="DejaVu Serif"/>
        </w:rPr>
        <w:fldChar w:fldCharType="end"/>
      </w:r>
      <w:r>
        <w:rPr>
          <w:rFonts w:ascii="DejaVu Serif" w:hAnsi="DejaVu Serif"/>
        </w:rPr>
        <w:t xml:space="preserve"> to the ‘GATS Trust Instrument’ and the ‘Master Terms’ are amended and shall be construed to mean, respectively, such other GATS trust instrument and the ‘Master Terms’ as defined in such other GATS trust instrument.</w:t>
      </w:r>
    </w:p>
    <w:p>
      <w:pPr>
        <w:pStyle w:val="AWGNumberedListAlt32C"/>
        <w:numPr>
          <w:ilvl w:val="3"/>
          <w:numId w:val="4"/>
        </w:numPr>
        <w:rPr/>
      </w:pPr>
      <w:r>
        <w:rPr>
          <w:rFonts w:ascii="DejaVu Serif" w:hAnsi="DejaVu Serif"/>
        </w:rPr>
        <w:t>The reference in Section 3.1(a) to ‘Effective Time’ is amended and shall be construed to mean the ‘Effective Time’ as defined in such other GATS trust instrument.</w:t>
      </w:r>
    </w:p>
    <w:p>
      <w:pPr>
        <w:pStyle w:val="AWGNumberedListAlt32C"/>
        <w:numPr>
          <w:ilvl w:val="3"/>
          <w:numId w:val="4"/>
        </w:numPr>
        <w:rPr/>
      </w:pPr>
      <w:r>
        <w:rPr>
          <w:rFonts w:ascii="DejaVu Serif" w:hAnsi="DejaVu Serif"/>
        </w:rPr>
        <w:t xml:space="preserve">If the Relevant Trustee Party is the GATS Trust, the reference in Section </w:t>
      </w:r>
      <w:r>
        <w:rPr>
          <w:rFonts w:ascii="DejaVu Serif" w:hAnsi="DejaVu Serif"/>
        </w:rPr>
        <w:fldChar w:fldCharType="begin"/>
      </w:r>
      <w:r>
        <w:rPr>
          <w:rFonts w:ascii="DejaVu Serif" w:hAnsi="DejaVu Serif"/>
        </w:rPr>
        <w:instrText> REF _Ref31647548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fldChar w:fldCharType="begin"/>
      </w:r>
      <w:r>
        <w:rPr>
          <w:rFonts w:ascii="DejaVu Serif" w:hAnsi="DejaVu Serif"/>
        </w:rPr>
        <w:instrText> REF _Ref30180359 \n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fldChar w:fldCharType="begin"/>
      </w:r>
      <w:r>
        <w:rPr>
          <w:rFonts w:ascii="DejaVu Serif" w:hAnsi="DejaVu Serif"/>
        </w:rPr>
        <w:instrText> REF _Ref30180360 \n \h </w:instrText>
      </w:r>
      <w:r>
        <w:rPr>
          <w:rFonts w:ascii="DejaVu Serif" w:hAnsi="DejaVu Serif"/>
        </w:rPr>
        <w:fldChar w:fldCharType="separate"/>
      </w:r>
      <w:r>
        <w:rPr>
          <w:rFonts w:ascii="DejaVu Serif" w:hAnsi="DejaVu Serif"/>
        </w:rPr>
        <w:t>(ii)</w:t>
      </w:r>
      <w:r>
        <w:rPr>
          <w:rFonts w:ascii="DejaVu Serif" w:hAnsi="DejaVu Serif"/>
        </w:rPr>
        <w:fldChar w:fldCharType="end"/>
      </w:r>
      <w:r>
        <w:rPr>
          <w:rFonts w:ascii="DejaVu Serif" w:hAnsi="DejaVu Serif"/>
        </w:rPr>
        <w:t xml:space="preserve"> to the ‘New Trustee’ is amended and shall be construed to mean the New Trustee on behalf of GATS Trust (as reconstituted pursuant to such other GATS trust instrument).</w:t>
      </w:r>
    </w:p>
    <w:p>
      <w:pPr>
        <w:pStyle w:val="AWGNumberedListAlt32C"/>
        <w:numPr>
          <w:ilvl w:val="3"/>
          <w:numId w:val="4"/>
        </w:numPr>
        <w:rPr/>
      </w:pPr>
      <w:bookmarkStart w:id="22" w:name="_Ref30169915"/>
      <w:r>
        <w:rPr>
          <w:rFonts w:ascii="DejaVu Serif" w:hAnsi="DejaVu Serif"/>
        </w:rPr>
        <w:t xml:space="preserve">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shall not apply.</w:t>
      </w:r>
      <w:bookmarkEnd w:id="22"/>
    </w:p>
    <w:p>
      <w:pPr>
        <w:pStyle w:val="AWGNumberedList22C"/>
        <w:numPr>
          <w:ilvl w:val="1"/>
          <w:numId w:val="4"/>
        </w:numPr>
        <w:rPr>
          <w:rFonts w:ascii="DejaVu Serif" w:hAnsi="DejaVu Serif"/>
        </w:rPr>
      </w:pPr>
      <w:r>
        <w:rPr>
          <w:rFonts w:ascii="DejaVu Serif" w:hAnsi="DejaVu Serif"/>
        </w:rPr>
        <w:t>After Acquired Trust Property</w:t>
      </w:r>
    </w:p>
    <w:p>
      <w:pPr>
        <w:pStyle w:val="AWGBodyText12C"/>
        <w:rPr>
          <w:rFonts w:ascii="DejaVu Serif" w:hAnsi="DejaVu Serif"/>
        </w:rPr>
      </w:pPr>
      <w:r>
        <w:rPr>
          <w:rFonts w:ascii="DejaVu Serif" w:hAnsi="DejaVu Serif"/>
        </w:rPr>
        <w:t>To the extent that the Existing Trustee or the Existing Trust Company acquires any After Acquired Trust Property, it shall promptly:</w:t>
      </w:r>
    </w:p>
    <w:p>
      <w:pPr>
        <w:pStyle w:val="AWGNumberedList32C"/>
        <w:numPr>
          <w:ilvl w:val="2"/>
          <w:numId w:val="4"/>
        </w:numPr>
        <w:rPr>
          <w:rFonts w:ascii="DejaVu Serif" w:hAnsi="DejaVu Serif"/>
        </w:rPr>
      </w:pPr>
      <w:r>
        <w:rPr>
          <w:rFonts w:ascii="DejaVu Serif" w:hAnsi="DejaVu Serif"/>
        </w:rPr>
        <w:t>notify the New Trustee and the Beneficiary of its acquisition of such After Acquired Trust Property; and</w:t>
      </w:r>
    </w:p>
    <w:p>
      <w:pPr>
        <w:pStyle w:val="AWGNumberedList32C"/>
        <w:numPr>
          <w:ilvl w:val="2"/>
          <w:numId w:val="4"/>
        </w:numPr>
        <w:rPr>
          <w:rFonts w:ascii="DejaVu Serif" w:hAnsi="DejaVu Serif"/>
        </w:rPr>
      </w:pPr>
      <w:bookmarkStart w:id="23" w:name="_Ref30180531"/>
      <w:bookmarkStart w:id="24" w:name="_Hlk30000555"/>
      <w:r>
        <w:rPr>
          <w:rFonts w:ascii="DejaVu Serif" w:hAnsi="DejaVu Serif"/>
        </w:rPr>
        <w:t>upon the written request of the Beneficiary or the New Trustee, assign and transfer all of its right, title and interest in and to such After Acquired Trust Property to the Relevant Trustee Party on an “AS IS” and “WHERE IS” basis</w:t>
      </w:r>
      <w:bookmarkEnd w:id="24"/>
      <w:r>
        <w:rPr>
          <w:rFonts w:ascii="DejaVu Serif" w:hAnsi="DejaVu Serif"/>
        </w:rPr>
        <w:t>.</w:t>
      </w:r>
      <w:bookmarkEnd w:id="23"/>
    </w:p>
    <w:p>
      <w:pPr>
        <w:pStyle w:val="AWGNumberedList12C"/>
        <w:numPr>
          <w:ilvl w:val="0"/>
          <w:numId w:val="4"/>
        </w:numPr>
        <w:rPr>
          <w:rFonts w:ascii="DejaVu Serif" w:hAnsi="DejaVu Serif"/>
        </w:rPr>
      </w:pPr>
      <w:r>
        <w:rPr>
          <w:rFonts w:ascii="DejaVu Serif" w:hAnsi="DejaVu Serif"/>
        </w:rPr>
        <w:t>Further Assurance</w:t>
      </w:r>
    </w:p>
    <w:p>
      <w:pPr>
        <w:pStyle w:val="AWGNumberedList22C"/>
        <w:numPr>
          <w:ilvl w:val="1"/>
          <w:numId w:val="4"/>
        </w:numPr>
        <w:rPr>
          <w:rFonts w:ascii="DejaVu Serif" w:hAnsi="DejaVu Serif"/>
        </w:rPr>
      </w:pPr>
      <w:bookmarkStart w:id="25" w:name="_Ref26973815"/>
      <w:r>
        <w:rPr>
          <w:rFonts w:ascii="DejaVu Serif" w:hAnsi="DejaVu Serif"/>
        </w:rPr>
        <w:t>Generally</w:t>
      </w:r>
      <w:bookmarkEnd w:id="25"/>
    </w:p>
    <w:p>
      <w:pPr>
        <w:pStyle w:val="AWGBodyText12C"/>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 including the execution in favor of and delivery to the Relevant Trustee Party of any bill of sale relating to the assignment and transfer of the Trust Estate and any instrument or document effecting the novation or assignment and assumption of any Related Document to which the Existing Trustee is a party.</w:t>
      </w:r>
      <w:bookmarkStart w:id="26" w:name="_Ref528609173"/>
      <w:bookmarkEnd w:id="26"/>
    </w:p>
    <w:p>
      <w:pPr>
        <w:pStyle w:val="AWGNumberedList22C"/>
        <w:numPr>
          <w:ilvl w:val="1"/>
          <w:numId w:val="4"/>
        </w:numPr>
        <w:rPr>
          <w:rFonts w:ascii="DejaVu Serif" w:hAnsi="DejaVu Serif"/>
        </w:rPr>
      </w:pPr>
      <w:r>
        <w:rPr>
          <w:rFonts w:ascii="DejaVu Serif" w:hAnsi="DejaVu Serif"/>
        </w:rPr>
        <w:t>International Registry</w:t>
      </w:r>
    </w:p>
    <w:p>
      <w:pPr>
        <w:pStyle w:val="AWGNumberedListAlt32C"/>
        <w:numPr>
          <w:ilvl w:val="3"/>
          <w:numId w:val="4"/>
        </w:numPr>
        <w:rPr>
          <w:rFonts w:ascii="DejaVu Serif" w:hAnsi="DejaVu Serif"/>
        </w:rPr>
      </w:pPr>
      <w:r>
        <w:rPr>
          <w:rFonts w:ascii="DejaVu Serif" w:hAnsi="DejaVu Serif"/>
        </w:rPr>
        <w:t>Each party to this Instrument shall cooperate to make any and all registrations with the International Registry to carry out the purpose and intent of the assignment and transfer of the Aircraft Equipment, and expressly consents to such registration(s) with respect to the Aircraft Equipment.</w:t>
      </w:r>
    </w:p>
    <w:p>
      <w:pPr>
        <w:pStyle w:val="AWGNumberedListAlt32C"/>
        <w:numPr>
          <w:ilvl w:val="3"/>
          <w:numId w:val="4"/>
        </w:numPr>
        <w:rPr>
          <w:rFonts w:ascii="DejaVu Serif" w:hAnsi="DejaVu Serif"/>
        </w:rPr>
      </w:pPr>
      <w:r>
        <w:rPr>
          <w:rFonts w:ascii="DejaVu Serif" w:hAnsi="DejaVu Serif"/>
        </w:rPr>
        <w:t>Each party to this Instrument agrees that,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p>
    <w:p>
      <w:pPr>
        <w:pStyle w:val="AWGNumberedList22C"/>
        <w:numPr>
          <w:ilvl w:val="1"/>
          <w:numId w:val="4"/>
        </w:numPr>
        <w:rPr>
          <w:rFonts w:ascii="DejaVu Serif" w:hAnsi="DejaVu Serif"/>
        </w:rPr>
      </w:pPr>
      <w:bookmarkStart w:id="27" w:name="_Ref30164565"/>
      <w:bookmarkStart w:id="28" w:name="_Ref528869380"/>
      <w:r>
        <w:rPr>
          <w:rFonts w:ascii="DejaVu Serif" w:hAnsi="DejaVu Serif"/>
        </w:rPr>
        <w:t>Savings Clause</w:t>
      </w:r>
      <w:bookmarkEnd w:id="27"/>
      <w:bookmarkEnd w:id="28"/>
    </w:p>
    <w:p>
      <w:pPr>
        <w:pStyle w:val="AWGBodyText12C"/>
        <w:rPr/>
      </w:pPr>
      <w:r>
        <w:rPr>
          <w:rFonts w:ascii="DejaVu Serif" w:hAnsi="DejaVu Serif"/>
        </w:rPr>
        <w:t xml:space="preserve">To the extent that, by operation of Applicable Law, this Instrument operates to terminate the GATS Trust and unless this Section </w:t>
      </w:r>
      <w:r>
        <w:rPr>
          <w:rFonts w:ascii="DejaVu Serif" w:hAnsi="DejaVu Serif"/>
        </w:rPr>
        <w:fldChar w:fldCharType="begin"/>
      </w:r>
      <w:r>
        <w:rPr>
          <w:rFonts w:ascii="DejaVu Serif" w:hAnsi="DejaVu Serif"/>
        </w:rPr>
        <w:instrText> REF _Ref30164565 \w \h </w:instrText>
      </w:r>
      <w:r>
        <w:rPr>
          <w:rFonts w:ascii="DejaVu Serif" w:hAnsi="DejaVu Serif"/>
        </w:rPr>
        <w:fldChar w:fldCharType="separate"/>
      </w:r>
      <w:r>
        <w:rPr>
          <w:rFonts w:ascii="DejaVu Serif" w:hAnsi="DejaVu Serif"/>
        </w:rPr>
        <w:t>4.3</w:t>
      </w:r>
      <w:r>
        <w:rPr>
          <w:rFonts w:ascii="DejaVu Serif" w:hAnsi="DejaVu Serif"/>
        </w:rPr>
        <w:fldChar w:fldCharType="end"/>
      </w:r>
      <w:r>
        <w:rPr>
          <w:rFonts w:ascii="DejaVu Serif" w:hAnsi="DejaVu Serif"/>
        </w:rPr>
        <w:t xml:space="preserve"> is disapplied pursuant to Section 3.5(e):</w:t>
      </w:r>
    </w:p>
    <w:p>
      <w:pPr>
        <w:pStyle w:val="AWGNumberedListAlt32C"/>
        <w:numPr>
          <w:ilvl w:val="3"/>
          <w:numId w:val="4"/>
        </w:numPr>
        <w:rPr>
          <w:rFonts w:ascii="DejaVu Serif" w:hAnsi="DejaVu Serif"/>
        </w:rPr>
      </w:pPr>
      <w:r>
        <w:rPr>
          <w:rFonts w:ascii="DejaVu Serif" w:hAnsi="DejaVu Serif"/>
        </w:rPr>
        <w:t>for the purposes of GATS and the GATS e-Ledger, the GATS Trust shall be deemed to have not terminated; and</w:t>
      </w:r>
    </w:p>
    <w:p>
      <w:pPr>
        <w:pStyle w:val="AWGNumberedListAlt32C"/>
        <w:numPr>
          <w:ilvl w:val="3"/>
          <w:numId w:val="4"/>
        </w:numPr>
        <w:rPr/>
      </w:pPr>
      <w:bookmarkStart w:id="29" w:name="_Ref530747070"/>
      <w:r>
        <w:rPr>
          <w:rFonts w:ascii="DejaVu Serif" w:hAnsi="DejaVu Serif"/>
        </w:rPr>
        <w:t>the Beneficiary appoints the Trustee as trustee to hold in trust and vests in the Trustee the sum of US$1.00 (which the New Trustee acknowledges it has received) and the Beneficiary and the Existing Trustee vest in the New Trustee all of the Trust Estate from time to time, and the New Trustee declares that it will hold the Trust Estate in trust for the absolute use and benefit of the Beneficiary in accordance with and subject to all of the terms and conditions of the GATS Trust Instrument and the other Trust Documents, and the GATS Trust Instrument and the terms of the GATS Trust Instrument (including the terms defined in the GATS Trust Instrument and the Master Terms) shall be construed to apply to the trust created by this Section 4.3(b).</w:t>
      </w:r>
      <w:bookmarkEnd w:id="29"/>
    </w:p>
    <w:p>
      <w:pPr>
        <w:pStyle w:val="AWGNumberedList12C"/>
        <w:numPr>
          <w:ilvl w:val="0"/>
          <w:numId w:val="4"/>
        </w:numPr>
        <w:rPr>
          <w:rFonts w:ascii="DejaVu Serif" w:hAnsi="DejaVu Serif"/>
        </w:rPr>
      </w:pPr>
      <w:bookmarkStart w:id="30" w:name="_Toc525831076"/>
      <w:r>
        <w:rPr>
          <w:rFonts w:ascii="DejaVu Serif" w:hAnsi="DejaVu Serif"/>
        </w:rPr>
        <w:t>Miscellaneous</w:t>
      </w:r>
      <w:bookmarkEnd w:id="30"/>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each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 xml:space="preserve">Each party to this Instrument consents to the use by </w:t>
      </w:r>
      <w:r>
        <w:rPr>
          <w:rFonts w:eastAsia="Calibri" w:cs="" w:ascii="DejaVu Serif" w:hAnsi="DejaVu Serif"/>
          <w:color w:val="000000" w:themeColor="text1"/>
          <w:kern w:val="0"/>
          <w:sz w:val="18"/>
          <w:szCs w:val="20"/>
          <w:lang w:val="en-GB" w:eastAsia="ja-JP" w:bidi="ar-SA"/>
        </w:rPr>
        <w:t>each</w:t>
      </w:r>
      <w:r>
        <w:rPr>
          <w:rFonts w:ascii="DejaVu Serif" w:hAnsi="DejaVu Serif"/>
        </w:rPr>
        <w:t xml:space="preserve"> other party of its electronic or digital signature through the GATS Platform, and the electronic execution of this Instrument through the GATS Platform.</w:t>
      </w:r>
    </w:p>
    <w:p>
      <w:pPr>
        <w:pStyle w:val="AWGNumberedListAlt32C"/>
        <w:numPr>
          <w:ilvl w:val="3"/>
          <w:numId w:val="4"/>
        </w:numPr>
        <w:rPr/>
      </w:pPr>
      <w:bookmarkStart w:id="31"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1"/>
    </w:p>
    <w:p>
      <w:pPr>
        <w:pStyle w:val="AWGNumberedListAlt32C"/>
        <w:numPr>
          <w:ilvl w:val="3"/>
          <w:numId w:val="4"/>
        </w:numPr>
        <w:rPr/>
      </w:pPr>
      <w:bookmarkStart w:id="32"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2"/>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bookmarkStart w:id="33" w:name="_Toc525831084"/>
      <w:r>
        <w:rPr>
          <w:rFonts w:ascii="DejaVu Serif" w:hAnsi="DejaVu Serif"/>
        </w:rPr>
        <w:t>Counterparts</w:t>
      </w:r>
      <w:bookmarkEnd w:id="33"/>
    </w:p>
    <w:p>
      <w:pPr>
        <w:pStyle w:val="AWGBodyText12C"/>
        <w:rPr/>
      </w:pPr>
      <w:r>
        <w:rPr>
          <w:rFonts w:ascii="DejaVu Serif" w:hAnsi="DejaVu Serif"/>
        </w:rPr>
        <w:t>Without prejudice to Sections 5.1(c) and (d), 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bookmarkStart w:id="34" w:name="_Toc525831085"/>
      <w:r>
        <w:rPr>
          <w:rFonts w:ascii="DejaVu Serif" w:hAnsi="DejaVu Serif"/>
        </w:rPr>
        <w:t>Governing Law</w:t>
      </w:r>
      <w:bookmarkEnd w:id="34"/>
    </w:p>
    <w:p>
      <w:pPr>
        <w:pStyle w:val="AWGBodyText12C"/>
        <w:rPr>
          <w:rFonts w:ascii="DejaVu Serif" w:hAnsi="DejaVu Serif"/>
        </w:rPr>
      </w:pPr>
      <w:r>
        <w:rPr>
          <w:rFonts w:ascii="DejaVu Serif" w:hAnsi="DejaVu Serif"/>
        </w:rPr>
        <w:t>This Instrument and all relationships created by it and arising out of or in connection with it, together with all Disputes, will in all respects be governed by and construed in accordance with the laws of Ireland.</w:t>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Existing Trustee and, where expressly stated, in its individual capacity as the Existing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0"/>
            <w:r>
              <w:commentReference w:id="0"/>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pPr>
            <w:r>
              <w:rPr>
                <w:b/>
                <w:bCs/>
                <w:sz w:val="18"/>
                <w:szCs w:val="18"/>
                <w:lang w:val="en-US"/>
              </w:rPr>
              <w:t>${newTrustee.name}</w:t>
            </w:r>
            <w:r>
              <w:rPr>
                <w:b w:val="false"/>
                <w:bCs w:val="false"/>
                <w:sz w:val="18"/>
                <w:szCs w:val="18"/>
                <w:lang w:val="en-US"/>
              </w:rPr>
              <w:t>,</w:t>
            </w:r>
            <w:r>
              <w:rPr>
                <w:sz w:val="18"/>
                <w:szCs w:val="18"/>
                <w:lang w:val="en-US"/>
              </w:rPr>
              <w:t xml:space="preserve"> </w:t>
            </w:r>
            <w:r>
              <w:rPr>
                <w:b w:val="false"/>
                <w:i w:val="false"/>
                <w:caps w:val="false"/>
                <w:smallCaps w:val="false"/>
                <w:color w:val="201F1E"/>
                <w:spacing w:val="0"/>
                <w:sz w:val="18"/>
                <w:szCs w:val="18"/>
                <w:lang w:val="en-US"/>
              </w:rPr>
              <w:t>as New Trustee and, where expressly stated, in its individual capacity as the New Trust Company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commentRangeEnd w:id="2"/>
            <w:r>
              <w:commentReference w:id="2"/>
            </w:r>
            <w:r>
              <w:rPr/>
            </w:r>
          </w:p>
          <w:p>
            <w:pPr>
              <w:pStyle w:val="AWGBodyText"/>
              <w:spacing w:lineRule="auto" w:line="240" w:before="0" w:after="0"/>
              <w:rPr>
                <w:rFonts w:ascii="DejaVu Serif" w:hAnsi="DejaVu Serif"/>
              </w:rPr>
            </w:pPr>
            <w:r>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bookmarkStart w:id="35" w:name="__DdeLink__985_33272654881111"/>
            <w:bookmarkEnd w:id="35"/>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421"/>
        <w:gridCol w:w="6318"/>
      </w:tblGrid>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c>
          <w:tcPr>
            <w:tcW w:w="6318" w:type="dxa"/>
            <w:tcBorders>
              <w:top w:val="nil"/>
              <w:left w:val="nil"/>
              <w:bottom w:val="nil"/>
              <w:right w:val="nil"/>
            </w:tcBorders>
            <w:shd w:color="auto" w:fill="auto" w:val="clear"/>
          </w:tcPr>
          <w:p>
            <w:pPr>
              <w:pStyle w:val="1participant"/>
              <w:spacing w:lineRule="auto" w:line="240" w:before="0" w:after="0"/>
              <w:rPr/>
            </w:pPr>
            <w:r>
              <w:rPr>
                <w:b/>
                <w:bCs/>
                <w:sz w:val="18"/>
                <w:szCs w:val="18"/>
                <w:lang w:val="en-US"/>
              </w:rPr>
              <w:t>${beneficiary.name}</w:t>
            </w:r>
            <w:r>
              <w:rPr>
                <w:b w:val="false"/>
                <w:bCs w:val="false"/>
                <w:sz w:val="18"/>
                <w:szCs w:val="18"/>
                <w:lang w:val="en-US"/>
              </w:rPr>
              <w:t>,</w:t>
            </w:r>
            <w:r>
              <w:rPr>
                <w:sz w:val="18"/>
                <w:szCs w:val="18"/>
                <w:lang w:val="en-US"/>
              </w:rPr>
              <w:t xml:space="preserve"> </w:t>
            </w:r>
            <w:r>
              <w:rPr>
                <w:b w:val="false"/>
                <w:bCs w:val="false"/>
                <w:sz w:val="18"/>
                <w:szCs w:val="18"/>
                <w:lang w:val="en-US"/>
              </w:rPr>
              <w:t xml:space="preserve">as </w:t>
            </w:r>
            <w:r>
              <w:rPr>
                <w:rFonts w:eastAsia="Calibri" w:cs="" w:cstheme="minorBidi" w:eastAsiaTheme="minorHAnsi"/>
                <w:b w:val="false"/>
                <w:bCs w:val="false"/>
                <w:color w:val="auto"/>
                <w:kern w:val="0"/>
                <w:sz w:val="18"/>
                <w:szCs w:val="20"/>
                <w:lang w:val="en-US" w:eastAsia="ja-JP" w:bidi="ar-SA"/>
              </w:rPr>
              <w:t>Beneficiary</w:t>
            </w:r>
          </w:p>
        </w:tc>
      </w:tr>
      <w:tr>
        <w:trPr/>
        <w:tc>
          <w:tcPr>
            <w:tcW w:w="2681"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lang w:val="en-US"/>
              </w:rPr>
            </w:r>
          </w:p>
        </w:tc>
        <w:tc>
          <w:tcPr>
            <w:tcW w:w="6318" w:type="dxa"/>
            <w:tcBorders>
              <w:top w:val="nil"/>
              <w:left w:val="nil"/>
              <w:bottom w:val="nil"/>
              <w:right w:val="nil"/>
            </w:tcBorders>
            <w:shd w:color="auto"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4"/>
            <w:r>
              <w:commentReference w:id="4"/>
            </w:r>
            <w:r>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sz w:val="18"/>
                <w:szCs w:val="18"/>
                <w:lang w:val="en-US"/>
              </w:rPr>
              <w:t>$</w:t>
            </w:r>
            <w:commentRangeStart w:id="5"/>
            <w:r>
              <w:rPr>
                <w:color w:val="FFFFFF"/>
                <w:sz w:val="18"/>
                <w:szCs w:val="18"/>
                <w:lang w:val="en-US"/>
              </w:rPr>
              <w:t>{tagName}</w:t>
            </w:r>
            <w:bookmarkStart w:id="36" w:name="__DdeLink__985_3327265488"/>
            <w:bookmarkEnd w:id="36"/>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38" w:name="_Ref528609587"/>
      <w:r>
        <w:rPr/>
        <w:t>Description of GATS Trust</w:t>
      </w:r>
      <w:bookmarkEnd w:id="38"/>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70"/>
        <w:gridCol w:w="945"/>
        <w:gridCol w:w="2130"/>
        <w:gridCol w:w="3398"/>
      </w:tblGrid>
      <w:tr>
        <w:trPr/>
        <w:tc>
          <w:tcPr>
            <w:tcW w:w="2570"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0"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w:t>
            </w:r>
          </w:p>
        </w:tc>
      </w:tr>
      <w:tr>
        <w:trPr/>
        <w:tc>
          <w:tcPr>
            <w:tcW w:w="257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t>Ireland (IE)</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GATS Trust ${trust.uin}</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br/>
      </w:r>
      <w:bookmarkStart w:id="40" w:name="_Ref29981077"/>
      <w:r>
        <w:rPr/>
        <w:t>Party Details</w:t>
      </w:r>
      <w:bookmarkEnd w:id="40"/>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1</w:t>
            </w:r>
          </w:p>
        </w:tc>
        <w:tc>
          <w:tcPr>
            <w:tcW w:w="3390" w:type="dxa"/>
            <w:tcBorders/>
            <w:shd w:fill="auto" w:val="clear"/>
          </w:tcPr>
          <w:p>
            <w:pPr>
              <w:pStyle w:val="AWGBodyText"/>
              <w:spacing w:lineRule="auto" w:line="240" w:before="0" w:after="0"/>
              <w:jc w:val="left"/>
              <w:rPr>
                <w:b/>
                <w:b/>
              </w:rPr>
            </w:pPr>
            <w:r>
              <w:rPr>
                <w:b/>
              </w:rPr>
              <w:t>Existing 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b/>
                <w:b/>
              </w:rPr>
            </w:pPr>
            <w:r>
              <w:rPr>
                <w:b/>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AWGBodyText"/>
        <w:rPr>
          <w:rFonts w:ascii="DejaVu Serif" w:hAnsi="DejaVu Serif"/>
          <w:sz w:val="18"/>
          <w:lang w:val="en-GB"/>
        </w:rPr>
      </w:pPr>
      <w:r>
        <w:rPr>
          <w:sz w:val="18"/>
          <w:lang w:val="en-GB"/>
        </w:rPr>
      </w:r>
      <w:r>
        <w:br w:type="page"/>
      </w:r>
    </w:p>
    <w:p>
      <w:pPr>
        <w:pStyle w:val="AWGBodyText"/>
        <w:rPr>
          <w:rFonts w:ascii="DejaVu Serif" w:hAnsi="DejaVu Serif"/>
          <w:sz w:val="18"/>
          <w:lang w:val="en-GB"/>
        </w:rPr>
      </w:pPr>
      <w:r>
        <w:rPr>
          <w:sz w:val="18"/>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2</w:t>
            </w:r>
          </w:p>
        </w:tc>
        <w:tc>
          <w:tcPr>
            <w:tcW w:w="3390" w:type="dxa"/>
            <w:tcBorders/>
            <w:shd w:fill="auto" w:val="clear"/>
          </w:tcPr>
          <w:p>
            <w:pPr>
              <w:pStyle w:val="AWGBodyText"/>
              <w:spacing w:lineRule="auto" w:line="240" w:before="0" w:after="0"/>
              <w:jc w:val="left"/>
              <w:rPr>
                <w:rFonts w:ascii="DejaVu Serif" w:hAnsi="DejaVu Serif"/>
              </w:rPr>
            </w:pPr>
            <w:r>
              <w:rPr>
                <w:b/>
                <w:lang w:val="en-US"/>
              </w:rPr>
              <w:t>New Trustee</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${newTrustee.entityType}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pStyle w:val="Normal"/>
        <w:rPr>
          <w:rFonts w:ascii="DejaVu Serif" w:hAnsi="DejaVu Serif"/>
          <w:sz w:val="18"/>
          <w:lang w:val="en-GB"/>
        </w:rPr>
      </w:pPr>
      <w:r>
        <w:rPr>
          <w:rFonts w:ascii="DejaVu Serif" w:hAnsi="DejaVu Serif"/>
          <w:sz w:val="18"/>
          <w:lang w:val="en-GB"/>
        </w:rPr>
      </w:r>
      <w:r>
        <w:br w:type="page"/>
      </w:r>
    </w:p>
    <w:p>
      <w:pPr>
        <w:pStyle w:val="Normal"/>
        <w:rPr>
          <w:rFonts w:ascii="DejaVu Serif" w:hAnsi="DejaVu Serif"/>
          <w:sz w:val="18"/>
          <w:lang w:val="en-GB"/>
        </w:rPr>
      </w:pPr>
      <w:r>
        <w:rPr>
          <w:rFonts w:ascii="DejaVu Serif" w:hAnsi="DejaVu Serif"/>
          <w:sz w:val="18"/>
          <w:lang w:val="en-GB"/>
        </w:rPr>
      </w:r>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416"/>
        <w:gridCol w:w="3390"/>
        <w:gridCol w:w="5238"/>
      </w:tblGrid>
      <w:tr>
        <w:trPr/>
        <w:tc>
          <w:tcPr>
            <w:tcW w:w="416" w:type="dxa"/>
            <w:tcBorders/>
            <w:shd w:fill="auto" w:val="clear"/>
          </w:tcPr>
          <w:p>
            <w:pPr>
              <w:pStyle w:val="AWGBodyText"/>
              <w:numPr>
                <w:ilvl w:val="0"/>
                <w:numId w:val="0"/>
              </w:numPr>
              <w:spacing w:lineRule="auto" w:line="240" w:before="0" w:after="0"/>
              <w:ind w:left="0" w:hanging="0"/>
              <w:jc w:val="left"/>
              <w:rPr>
                <w:rFonts w:ascii="DejaVu Serif" w:hAnsi="DejaVu Serif"/>
              </w:rPr>
            </w:pPr>
            <w:r>
              <w:rPr>
                <w:b/>
              </w:rPr>
              <w:t>3</w:t>
            </w:r>
          </w:p>
        </w:tc>
        <w:tc>
          <w:tcPr>
            <w:tcW w:w="3390" w:type="dxa"/>
            <w:tcBorders/>
            <w:shd w:fill="auto" w:val="clear"/>
          </w:tcPr>
          <w:p>
            <w:pPr>
              <w:pStyle w:val="AWGBodyText"/>
              <w:spacing w:lineRule="auto" w:line="240" w:before="0" w:after="0"/>
              <w:jc w:val="left"/>
              <w:rPr>
                <w:rFonts w:ascii="DejaVu Serif" w:hAnsi="DejaVu Serif"/>
              </w:rPr>
            </w:pPr>
            <w:r>
              <w:rPr>
                <w:b/>
                <w:lang w:val="en-US"/>
              </w:rPr>
              <w:t>Beneficiary</w:t>
            </w:r>
          </w:p>
        </w:tc>
        <w:tc>
          <w:tcPr>
            <w:tcW w:w="5238" w:type="dxa"/>
            <w:tcBorders/>
            <w:shd w:fill="auto" w:val="clear"/>
          </w:tcPr>
          <w:p>
            <w:pPr>
              <w:pStyle w:val="AWGBodyText"/>
              <w:spacing w:lineRule="auto" w:line="240" w:before="0" w:after="0"/>
              <w:jc w:val="left"/>
              <w:rPr>
                <w:rFonts w:ascii="DejaVu Serif" w:hAnsi="DejaVu Serif"/>
              </w:rPr>
            </w:pPr>
            <w:r>
              <w:rPr/>
            </w:r>
          </w:p>
        </w:tc>
      </w:tr>
      <w:tr>
        <w:trPr/>
        <w:tc>
          <w:tcPr>
            <w:tcW w:w="416"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
          </w:p>
        </w:tc>
        <w:tc>
          <w:tcPr>
            <w:tcW w:w="3390"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Name:</w:t>
            </w:r>
          </w:p>
        </w:tc>
        <w:tc>
          <w:tcPr>
            <w:tcW w:w="5238"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${beneficiary.name}</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GATS Entity ID:</w:t>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${beneficiary.id}</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Jurisdiction of formation, incorporation or organisation:</w:t>
            </w:r>
          </w:p>
          <w:p>
            <w:pPr>
              <w:pStyle w:val="AWGBodyText"/>
              <w:spacing w:lineRule="auto" w:line="240" w:before="0" w:after="0"/>
              <w:jc w:val="left"/>
              <w:rPr>
                <w:rFonts w:ascii="DejaVu Serif" w:hAnsi="DejaVu Serif"/>
              </w:rPr>
            </w:pPr>
            <w:r>
              <w:rPr/>
            </w:r>
          </w:p>
        </w:tc>
        <w:tc>
          <w:tcPr>
            <w:tcW w:w="5238"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${beneficiary.jurisdiction}</w:t>
            </w:r>
          </w:p>
          <w:p>
            <w:pPr>
              <w:pStyle w:val="AWGBodyText"/>
              <w:spacing w:lineRule="auto" w:line="240" w:before="0" w:after="0"/>
              <w:jc w:val="left"/>
              <w:rPr>
                <w:rFonts w:ascii="DejaVu Serif" w:hAnsi="DejaVu Serif"/>
                <w:color w:val="000000"/>
                <w:lang w:val="en-US"/>
              </w:rPr>
            </w:pPr>
            <w:r>
              <w:rPr>
                <w:color w:val="000000"/>
                <w:lang w:val="en-US"/>
              </w:rPr>
            </w:r>
          </w:p>
        </w:tc>
      </w:tr>
      <w:tr>
        <w:trPr/>
        <w:tc>
          <w:tcPr>
            <w:tcW w:w="416"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b/>
              </w:rPr>
            </w:r>
          </w:p>
        </w:tc>
        <w:tc>
          <w:tcPr>
            <w:tcW w:w="3390"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t>Entity type:</w:t>
            </w:r>
          </w:p>
        </w:tc>
        <w:tc>
          <w:tcPr>
            <w:tcW w:w="5238"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color w:val="000000"/>
                <w:lang w:val="en-US"/>
              </w:rPr>
              <w:t>${beneficiary.entityType}</w:t>
            </w:r>
          </w:p>
          <w:p>
            <w:pPr>
              <w:pStyle w:val="AWGBodyText"/>
              <w:spacing w:lineRule="auto" w:line="240" w:before="0" w:after="0"/>
              <w:jc w:val="left"/>
              <w:rPr>
                <w:rFonts w:ascii="DejaVu Serif" w:hAnsi="DejaVu Serif"/>
                <w:color w:val="000000"/>
                <w:lang w:val="en-US"/>
              </w:rPr>
            </w:pPr>
            <w:r>
              <w:rPr>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2" w:name="_Ref521431447"/>
      <w:r>
        <w:rPr/>
        <w:br/>
      </w:r>
      <w:bookmarkEnd w:id="42"/>
      <w:r>
        <w:rPr/>
        <w:t>Aircraft Equipment</w:t>
      </w:r>
    </w:p>
    <w:tbl>
      <w:tblPr>
        <w:tblStyle w:val="TableGrid"/>
        <w:tblW w:w="9044" w:type="dxa"/>
        <w:jc w:val="left"/>
        <w:tblInd w:w="1" w:type="dxa"/>
        <w:tblCellMar>
          <w:top w:w="0" w:type="dxa"/>
          <w:left w:w="5" w:type="dxa"/>
          <w:bottom w:w="0" w:type="dxa"/>
          <w:right w:w="0" w:type="dxa"/>
        </w:tblCellMar>
        <w:tblLook w:val="04a0" w:noVBand="1" w:noHBand="0" w:lastColumn="0" w:firstColumn="1" w:lastRow="0" w:firstRow="1"/>
      </w:tblPr>
      <w:tblGrid>
        <w:gridCol w:w="416"/>
        <w:gridCol w:w="1220"/>
        <w:gridCol w:w="1481"/>
        <w:gridCol w:w="1480"/>
        <w:gridCol w:w="1485"/>
        <w:gridCol w:w="1479"/>
        <w:gridCol w:w="1482"/>
      </w:tblGrid>
      <w:tr>
        <w:trPr/>
        <w:tc>
          <w:tcPr>
            <w:tcW w:w="416" w:type="dxa"/>
            <w:tcBorders>
              <w:right w:val="nil"/>
            </w:tcBorders>
            <w:shd w:fill="auto" w:val="clear"/>
          </w:tcPr>
          <w:p>
            <w:pPr>
              <w:pStyle w:val="AWGBodyText"/>
              <w:spacing w:lineRule="auto" w:line="240" w:before="0" w:after="0"/>
              <w:jc w:val="center"/>
              <w:rPr>
                <w:rFonts w:ascii="DejaVu Serif" w:hAnsi="DejaVu Serif"/>
                <w:b/>
                <w:b/>
              </w:rPr>
            </w:pPr>
            <w:r>
              <w:rPr>
                <w:b/>
              </w:rPr>
            </w:r>
          </w:p>
        </w:tc>
        <w:tc>
          <w:tcPr>
            <w:tcW w:w="1220" w:type="dxa"/>
            <w:tcBorders>
              <w:right w:val="nil"/>
            </w:tcBorders>
            <w:shd w:fill="auto" w:val="clear"/>
          </w:tcPr>
          <w:p>
            <w:pPr>
              <w:pStyle w:val="AWGBodyText"/>
              <w:spacing w:lineRule="auto" w:line="240" w:before="0" w:after="0"/>
              <w:jc w:val="center"/>
              <w:rPr>
                <w:b/>
                <w:b/>
              </w:rPr>
            </w:pPr>
            <w:r>
              <w:rPr>
                <w:b/>
              </w:rPr>
              <w:t>Type [*]</w:t>
            </w:r>
          </w:p>
        </w:tc>
        <w:tc>
          <w:tcPr>
            <w:tcW w:w="1481" w:type="dxa"/>
            <w:tcBorders>
              <w:right w:val="nil"/>
            </w:tcBorders>
            <w:shd w:fill="auto" w:val="clear"/>
          </w:tcPr>
          <w:p>
            <w:pPr>
              <w:pStyle w:val="AWGBodyText"/>
              <w:spacing w:lineRule="auto" w:line="240" w:before="0" w:after="0"/>
              <w:jc w:val="center"/>
              <w:rPr>
                <w:b/>
                <w:b/>
              </w:rPr>
            </w:pPr>
            <w:r>
              <w:rPr>
                <w:b/>
              </w:rPr>
              <w:t>Manufacturer</w:t>
            </w:r>
          </w:p>
        </w:tc>
        <w:tc>
          <w:tcPr>
            <w:tcW w:w="1480" w:type="dxa"/>
            <w:tcBorders>
              <w:right w:val="nil"/>
            </w:tcBorders>
            <w:shd w:fill="auto" w:val="clear"/>
          </w:tcPr>
          <w:p>
            <w:pPr>
              <w:pStyle w:val="AWGBodyText"/>
              <w:spacing w:lineRule="auto" w:line="240" w:before="0" w:after="0"/>
              <w:jc w:val="center"/>
              <w:rPr>
                <w:b/>
                <w:b/>
              </w:rPr>
            </w:pPr>
            <w:r>
              <w:rPr>
                <w:b/>
              </w:rPr>
              <w:t>Model</w:t>
            </w:r>
          </w:p>
        </w:tc>
        <w:tc>
          <w:tcPr>
            <w:tcW w:w="1485" w:type="dxa"/>
            <w:tcBorders>
              <w:right w:val="nil"/>
            </w:tcBorders>
            <w:shd w:fill="auto" w:val="clear"/>
          </w:tcPr>
          <w:p>
            <w:pPr>
              <w:pStyle w:val="AWGBodyText"/>
              <w:spacing w:lineRule="auto" w:line="240" w:before="0" w:after="0"/>
              <w:jc w:val="center"/>
              <w:rPr>
                <w:b/>
                <w:b/>
              </w:rPr>
            </w:pPr>
            <w:r>
              <w:rPr>
                <w:b/>
              </w:rPr>
              <w:t>Nationality and Registration Mark [**]</w:t>
            </w:r>
          </w:p>
        </w:tc>
        <w:tc>
          <w:tcPr>
            <w:tcW w:w="1479" w:type="dxa"/>
            <w:tcBorders>
              <w:right w:val="nil"/>
            </w:tcBorders>
            <w:shd w:fill="auto" w:val="clear"/>
          </w:tcPr>
          <w:p>
            <w:pPr>
              <w:pStyle w:val="AWGBodyText"/>
              <w:spacing w:lineRule="auto" w:line="240" w:before="0" w:after="0"/>
              <w:jc w:val="center"/>
              <w:rPr>
                <w:b/>
                <w:b/>
              </w:rPr>
            </w:pPr>
            <w:r>
              <w:rPr>
                <w:b/>
              </w:rPr>
              <w:t>Serial Number (Aircraft Equipment)</w:t>
            </w:r>
          </w:p>
        </w:tc>
        <w:tc>
          <w:tcPr>
            <w:tcW w:w="1482" w:type="dxa"/>
            <w:tcBorders/>
            <w:shd w:fill="auto" w:val="clear"/>
          </w:tcPr>
          <w:p>
            <w:pPr>
              <w:pStyle w:val="AWGBodyText"/>
              <w:spacing w:lineRule="auto" w:line="240" w:before="0" w:after="0"/>
              <w:jc w:val="center"/>
              <w:rPr>
                <w:rFonts w:ascii="DejaVu Serif" w:hAnsi="DejaVu Serif"/>
              </w:rPr>
            </w:pPr>
            <w:r>
              <w:rPr>
                <w:b/>
              </w:rPr>
              <w:t xml:space="preserve">Associated Aircraft or Helicopter </w:t>
            </w:r>
            <w:commentRangeStart w:id="6"/>
            <w:r>
              <w:rPr>
                <w:b/>
              </w:rPr>
              <w:t>[***]</w:t>
            </w:r>
            <w:commentRangeEnd w:id="6"/>
            <w:r>
              <w:commentReference w:id="6"/>
            </w:r>
            <w:r>
              <w:rPr>
                <w:b/>
              </w:rPr>
            </w:r>
          </w:p>
        </w:tc>
      </w:tr>
      <w:tr>
        <w:trPr/>
        <w:tc>
          <w:tcPr>
            <w:tcW w:w="416" w:type="dxa"/>
            <w:tcBorders>
              <w:right w:val="nil"/>
            </w:tcBorders>
            <w:shd w:color="auto" w:fill="auto" w:val="clear"/>
            <w:tcMar>
              <w:top w:w="58" w:type="dxa"/>
              <w:left w:w="115" w:type="dxa"/>
              <w:bottom w:w="58" w:type="dxa"/>
              <w:right w:w="115" w:type="dxa"/>
            </w:tcMar>
          </w:tcPr>
          <w:p>
            <w:pPr>
              <w:pStyle w:val="AWGBodyText"/>
              <w:numPr>
                <w:ilvl w:val="0"/>
                <w:numId w:val="6"/>
              </w:numPr>
              <w:spacing w:lineRule="auto" w:line="240" w:before="0" w:after="0"/>
              <w:ind w:left="720" w:hanging="0"/>
              <w:jc w:val="left"/>
              <w:rPr>
                <w:rFonts w:ascii="DejaVu Serif" w:hAnsi="DejaVu Serif"/>
                <w:b w:val="false"/>
                <w:b w:val="false"/>
                <w:bCs w:val="false"/>
              </w:rPr>
            </w:pPr>
            <w:commentRangeStart w:id="7"/>
            <w:r>
              <w:rPr>
                <w:b w:val="false"/>
                <w:bCs w:val="false"/>
              </w:rPr>
            </w:r>
          </w:p>
        </w:tc>
        <w:tc>
          <w:tcPr>
            <w:tcW w:w="122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${type}</w:t>
            </w:r>
          </w:p>
        </w:tc>
        <w:tc>
          <w:tcPr>
            <w:tcW w:w="1481"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${manufacturer}</w:t>
            </w:r>
          </w:p>
        </w:tc>
        <w:tc>
          <w:tcPr>
            <w:tcW w:w="148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${model}</w:t>
            </w:r>
          </w:p>
        </w:tc>
        <w:tc>
          <w:tcPr>
            <w:tcW w:w="1485"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${nationality} ${registrationMark}</w:t>
            </w:r>
          </w:p>
        </w:tc>
        <w:tc>
          <w:tcPr>
            <w:tcW w:w="1479"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lang w:val="en-US"/>
              </w:rPr>
              <w:t>${serialNumber}</w:t>
            </w:r>
          </w:p>
        </w:tc>
        <w:tc>
          <w:tcPr>
            <w:tcW w:w="1482"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color w:val="000000"/>
                <w:sz w:val="18"/>
                <w:lang w:val="en-US"/>
              </w:rPr>
              <w:t>${associatedEngines}</w:t>
            </w:r>
            <w:commentRangeEnd w:id="7"/>
            <w:r>
              <w:commentReference w:id="7"/>
            </w:r>
            <w:r>
              <w:rPr>
                <w:color w:val="000000"/>
                <w:sz w:val="18"/>
                <w:lang w:val="en-US"/>
              </w:rPr>
            </w:r>
          </w:p>
        </w:tc>
      </w:tr>
    </w:tbl>
    <w:p>
      <w:pPr>
        <w:pStyle w:val="AWGBodyText"/>
        <w:spacing w:before="120" w:after="120"/>
        <w:ind w:left="540" w:hanging="540"/>
        <w:rPr>
          <w:rFonts w:ascii="DejaVu Serif" w:hAnsi="DejaVu Serif"/>
        </w:rPr>
      </w:pPr>
      <w:commentRangeStart w:id="8"/>
      <w:r>
        <w:rPr/>
        <w:t>[*]</w:t>
        <w:tab/>
        <w:t>NOTE: ‘</w:t>
      </w:r>
      <w:r>
        <w:rPr>
          <w:b/>
        </w:rPr>
        <w:t>AA</w:t>
      </w:r>
      <w:r>
        <w:rPr/>
        <w:t>’ means an aircraft (including any aircraft engines associated with it as indicated in the last column), ‘</w:t>
      </w:r>
      <w:r>
        <w:rPr>
          <w:b/>
        </w:rPr>
        <w:t>AE</w:t>
      </w:r>
      <w:r>
        <w:rPr/>
        <w:t>’ means an aircraft engine not associated with an aircraft and ‘</w:t>
      </w:r>
      <w:r>
        <w:rPr>
          <w:b/>
        </w:rPr>
        <w:t>LINKED AE</w:t>
      </w:r>
      <w:r>
        <w:rPr/>
        <w:t>’ means an aircraft engine associated with an aircraft or helicopter as indicated in the last column; and ‘</w:t>
      </w:r>
      <w:r>
        <w:rPr>
          <w:b/>
        </w:rPr>
        <w:t>HL</w:t>
      </w:r>
      <w:r>
        <w:rPr/>
        <w:t>’ means a helicopter (including any aircraft engines associated with it as indicated in the last column).</w:t>
      </w:r>
      <w:commentRangeEnd w:id="8"/>
      <w:r>
        <w:commentReference w:id="8"/>
      </w:r>
      <w:r>
        <w:rPr/>
      </w:r>
    </w:p>
    <w:p>
      <w:pPr>
        <w:pStyle w:val="AWGBodyText"/>
        <w:spacing w:before="120" w:after="120"/>
        <w:ind w:left="540" w:hanging="540"/>
        <w:rPr>
          <w:rFonts w:ascii="DejaVu Serif" w:hAnsi="DejaVu Serif"/>
        </w:rPr>
      </w:pPr>
      <w:commentRangeStart w:id="9"/>
      <w:r>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9"/>
      <w:r>
        <w:commentReference w:id="9"/>
      </w:r>
      <w:r>
        <w:rPr/>
      </w:r>
    </w:p>
    <w:p>
      <w:pPr>
        <w:pStyle w:val="AWGBodyText"/>
        <w:spacing w:before="120" w:after="120"/>
        <w:ind w:left="540" w:hanging="540"/>
        <w:rPr>
          <w:rFonts w:ascii="DejaVu Serif" w:hAnsi="DejaVu Serif"/>
        </w:rPr>
      </w:pPr>
      <w:commentRangeStart w:id="10"/>
      <w:r>
        <w:rPr/>
        <w:t>[***]</w:t>
        <w:tab/>
        <w:t>NOTE: only applicable where the aircraft equipment type is an aircraft engine associated with an aircraft or helicopter (‘LINKED AE’).</w:t>
      </w:r>
      <w:commentRangeEnd w:id="10"/>
      <w:r>
        <w:commentReference w:id="10"/>
      </w:r>
      <w:r>
        <w:rPr/>
      </w:r>
    </w:p>
    <w:p>
      <w:pPr>
        <w:pStyle w:val="Normal"/>
        <w:spacing w:before="120" w:after="0"/>
        <w:jc w:val="center"/>
        <w:rPr>
          <w:color w:val="00B050"/>
          <w:lang w:val="en-GB"/>
        </w:rPr>
      </w:pPr>
      <w:r>
        <w:rPr>
          <w:color w:val="00B050"/>
          <w:lang w:val="en-GB"/>
        </w:rPr>
      </w:r>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color w:val="000000"/>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AWGScheduleHead"/>
        <w:numPr>
          <w:ilvl w:val="0"/>
          <w:numId w:val="2"/>
        </w:numPr>
        <w:rPr>
          <w:rFonts w:ascii="DejaVu Serif" w:hAnsi="DejaVu Serif"/>
        </w:rPr>
      </w:pPr>
      <w:r>
        <w:rPr/>
        <w:br/>
      </w:r>
      <w:bookmarkStart w:id="44" w:name="_Ref534729962"/>
      <w:r>
        <w:rPr/>
        <w:t xml:space="preserve">Amendments to Description of GATS Trust </w:t>
      </w:r>
      <w:bookmarkEnd w:id="44"/>
      <w:r>
        <w:rPr/>
        <w:t>Documents</w:t>
      </w:r>
    </w:p>
    <w:p>
      <w:pPr>
        <w:pStyle w:val="AWGBodyText"/>
        <w:rPr>
          <w:rFonts w:ascii="DejaVu Serif" w:hAnsi="DejaVu Serif"/>
        </w:rPr>
      </w:pPr>
      <w:r>
        <w:rPr/>
        <w:t>Part 3 (</w:t>
      </w:r>
      <w:r>
        <w:rPr>
          <w:i/>
        </w:rPr>
        <w:t>Description of GATS Trust Documents</w:t>
      </w:r>
      <w:r>
        <w:rPr/>
        <w:t>) of schedule 4 (</w:t>
      </w:r>
      <w:r>
        <w:rPr>
          <w:i/>
        </w:rPr>
        <w:t>Description of Trust Documents</w:t>
      </w:r>
      <w:r>
        <w:rPr/>
        <w:t>) to the GATS Trust Instrument shall be deleted in its entirety and replaced with the following:</w:t>
      </w:r>
    </w:p>
    <w:p>
      <w:pPr>
        <w:pStyle w:val="AWGBodyText"/>
        <w:jc w:val="center"/>
        <w:rPr>
          <w:rFonts w:ascii="DejaVu Serif" w:hAnsi="DejaVu Serif"/>
        </w:rPr>
      </w:pPr>
      <w:r>
        <w:rPr/>
        <w:t>START AMENDED TEXT</w:t>
      </w:r>
    </w:p>
    <w:tbl>
      <w:tblPr>
        <w:tblStyle w:val="TableGrid"/>
        <w:tblW w:w="9044" w:type="dxa"/>
        <w:jc w:val="left"/>
        <w:tblInd w:w="116" w:type="dxa"/>
        <w:tblCellMar>
          <w:top w:w="58" w:type="dxa"/>
          <w:left w:w="115" w:type="dxa"/>
          <w:bottom w:w="58" w:type="dxa"/>
          <w:right w:w="115" w:type="dxa"/>
        </w:tblCellMar>
        <w:tblLook w:val="04a0" w:noVBand="1" w:noHBand="0" w:lastColumn="0" w:firstColumn="1" w:lastRow="0" w:firstRow="1"/>
      </w:tblPr>
      <w:tblGrid>
        <w:gridCol w:w="374"/>
        <w:gridCol w:w="2416"/>
        <w:gridCol w:w="6254"/>
      </w:tblGrid>
      <w:tr>
        <w:trPr/>
        <w:tc>
          <w:tcPr>
            <w:tcW w:w="374"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rPr>
            </w:pPr>
            <w:commentRangeStart w:id="12"/>
            <w:r>
              <w:rPr/>
            </w:r>
          </w:p>
        </w:tc>
        <w:tc>
          <w:tcPr>
            <w:tcW w:w="2416" w:type="dxa"/>
            <w:tcBorders>
              <w:bottom w:val="nil"/>
              <w:right w:val="nil"/>
            </w:tcBorders>
            <w:shd w:fill="auto" w:val="clear"/>
          </w:tcPr>
          <w:p>
            <w:pPr>
              <w:pStyle w:val="AWGBodyText"/>
              <w:spacing w:lineRule="auto" w:line="240" w:before="0" w:after="0"/>
              <w:jc w:val="left"/>
              <w:rPr>
                <w:rFonts w:ascii="DejaVu Serif" w:hAnsi="DejaVu Serif"/>
              </w:rPr>
            </w:pPr>
            <w:r>
              <w:rPr/>
              <w:t>Name:</w:t>
            </w:r>
          </w:p>
        </w:tc>
        <w:tc>
          <w:tcPr>
            <w:tcW w:w="6254" w:type="dxa"/>
            <w:tcBorders>
              <w:bottom w:val="nil"/>
            </w:tcBorders>
            <w:shd w:fill="auto" w:val="clear"/>
          </w:tcPr>
          <w:p>
            <w:pPr>
              <w:pStyle w:val="AWGBodyText"/>
              <w:spacing w:lineRule="auto" w:line="240" w:before="0" w:after="0"/>
              <w:jc w:val="left"/>
              <w:rPr>
                <w:rFonts w:ascii="DejaVu Serif" w:hAnsi="DejaVu Serif"/>
              </w:rPr>
            </w:pPr>
            <w:r>
              <w:rPr>
                <w:color w:val="000000"/>
                <w:lang w:val="en-US"/>
              </w:rPr>
              <w:t>${name}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Transaction ID:</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Cs w:val="18"/>
                <w:lang w:val="en-US"/>
              </w:rPr>
              <w:t>${transactionID}</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Trust Branch:</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t>Ireland (IE)</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GATS Form Version:</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t>1.0</w:t>
            </w:r>
          </w:p>
        </w:tc>
      </w:tr>
      <w:tr>
        <w:trPr/>
        <w:tc>
          <w:tcPr>
            <w:tcW w:w="374" w:type="dxa"/>
            <w:tcBorders>
              <w:top w:val="nil"/>
              <w:bottom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bottom w:val="nil"/>
              <w:right w:val="nil"/>
            </w:tcBorders>
            <w:shd w:fill="auto" w:val="clear"/>
          </w:tcPr>
          <w:p>
            <w:pPr>
              <w:pStyle w:val="AWGBodyText"/>
              <w:spacing w:lineRule="auto" w:line="240" w:before="0" w:after="0"/>
              <w:jc w:val="left"/>
              <w:rPr>
                <w:rFonts w:ascii="DejaVu Serif" w:hAnsi="DejaVu Serif"/>
              </w:rPr>
            </w:pPr>
            <w:r>
              <w:rPr/>
              <w:t>Effective Time:</w:t>
            </w:r>
          </w:p>
        </w:tc>
        <w:tc>
          <w:tcPr>
            <w:tcW w:w="6254" w:type="dxa"/>
            <w:tcBorders>
              <w:top w:val="nil"/>
              <w:bottom w:val="nil"/>
            </w:tcBorders>
            <w:shd w:fill="auto" w:val="clear"/>
          </w:tcPr>
          <w:p>
            <w:pPr>
              <w:pStyle w:val="AWGBodyText"/>
              <w:spacing w:lineRule="auto" w:line="240" w:before="0" w:after="0"/>
              <w:jc w:val="left"/>
              <w:rPr>
                <w:rFonts w:ascii="DejaVu Serif" w:hAnsi="DejaVu Serif"/>
              </w:rPr>
            </w:pPr>
            <w:r>
              <w:rPr>
                <w:color w:val="000000"/>
                <w:lang w:val="en-US"/>
              </w:rPr>
              <w:t>${dateOrEffectiveTime}</w:t>
            </w:r>
          </w:p>
        </w:tc>
      </w:tr>
      <w:tr>
        <w:trPr/>
        <w:tc>
          <w:tcPr>
            <w:tcW w:w="374" w:type="dxa"/>
            <w:tcBorders>
              <w:top w:val="nil"/>
              <w:right w:val="nil"/>
            </w:tcBorders>
            <w:shd w:fill="auto" w:val="clear"/>
          </w:tcPr>
          <w:p>
            <w:pPr>
              <w:pStyle w:val="AWGBodyText"/>
              <w:spacing w:lineRule="auto" w:line="240" w:before="0" w:after="0"/>
              <w:jc w:val="left"/>
              <w:rPr>
                <w:rFonts w:ascii="DejaVu Serif" w:hAnsi="DejaVu Serif"/>
                <w:b/>
                <w:b/>
              </w:rPr>
            </w:pPr>
            <w:r>
              <w:rPr>
                <w:b/>
              </w:rPr>
            </w:r>
          </w:p>
        </w:tc>
        <w:tc>
          <w:tcPr>
            <w:tcW w:w="2416" w:type="dxa"/>
            <w:tcBorders>
              <w:top w:val="nil"/>
              <w:right w:val="nil"/>
            </w:tcBorders>
            <w:shd w:fill="auto" w:val="clear"/>
          </w:tcPr>
          <w:p>
            <w:pPr>
              <w:pStyle w:val="AWGBodyText"/>
              <w:spacing w:lineRule="auto" w:line="240" w:before="0" w:after="0"/>
              <w:jc w:val="left"/>
              <w:rPr>
                <w:rFonts w:ascii="DejaVu Serif" w:hAnsi="DejaVu Serif"/>
              </w:rPr>
            </w:pPr>
            <w:r>
              <w:rPr/>
              <w:t>Parties:</w:t>
            </w:r>
          </w:p>
        </w:tc>
        <w:tc>
          <w:tcPr>
            <w:tcW w:w="6254" w:type="dxa"/>
            <w:tcBorders>
              <w:top w:val="nil"/>
            </w:tcBorders>
            <w:shd w:fill="auto" w:val="clear"/>
          </w:tcPr>
          <w:p>
            <w:pPr>
              <w:pStyle w:val="AWGBodyText"/>
              <w:spacing w:lineRule="auto" w:line="240" w:before="0" w:after="0"/>
              <w:jc w:val="left"/>
              <w:rPr>
                <w:rFonts w:ascii="DejaVu Serif" w:hAnsi="DejaVu Serif"/>
              </w:rPr>
            </w:pPr>
            <w:r>
              <w:rPr>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color w:val="00B050"/>
          <w:lang w:val="en-GB"/>
        </w:rPr>
      </w:pPr>
      <w:r>
        <w:rPr>
          <w:color w:val="00B050"/>
          <w:lang w:val="en-GB"/>
        </w:rPr>
      </w:r>
    </w:p>
    <w:p>
      <w:pPr>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r>
        <w:rPr>
          <w:rFonts w:ascii="DejaVu Serif" w:hAnsi="DejaVu Serif"/>
        </w:rPr>
        <w:t>END AMENDED TEXT</w:t>
      </w:r>
    </w:p>
    <w:p>
      <w:pPr>
        <w:pStyle w:val="AWGScheduleHead"/>
        <w:numPr>
          <w:ilvl w:val="0"/>
          <w:numId w:val="2"/>
        </w:numPr>
        <w:rPr>
          <w:rFonts w:ascii="DejaVu Serif" w:hAnsi="DejaVu Serif"/>
        </w:rPr>
      </w:pPr>
      <w:r>
        <w:rPr/>
        <w:br/>
      </w:r>
      <w:bookmarkStart w:id="46" w:name="_Ref528867373"/>
      <w:r>
        <w:rPr/>
        <w:t>Trustee Resignation/Removal</w:t>
      </w:r>
      <w:bookmarkEnd w:id="46"/>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798"/>
        <w:gridCol w:w="8245"/>
      </w:tblGrid>
      <w:tr>
        <w:trPr/>
        <w:tc>
          <w:tcPr>
            <w:tcW w:w="9043" w:type="dxa"/>
            <w:gridSpan w:val="2"/>
            <w:tcBorders/>
            <w:shd w:fill="auto" w:val="clear"/>
          </w:tcPr>
          <w:p>
            <w:pPr>
              <w:pStyle w:val="AWGBodyText"/>
              <w:spacing w:lineRule="auto" w:line="240" w:before="0" w:after="0"/>
              <w:rPr>
                <w:b/>
                <w:b/>
              </w:rPr>
            </w:pPr>
            <w:r>
              <w:rPr>
                <w:b/>
              </w:rPr>
              <w:t>Effective Date</w:t>
            </w:r>
          </w:p>
        </w:tc>
      </w:tr>
      <w:tr>
        <w:trPr/>
        <w:tc>
          <w:tcPr>
            <w:tcW w:w="798" w:type="dxa"/>
            <w:tcBorders>
              <w:right w:val="nil"/>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bookmarkStart w:id="47" w:name="__DdeLink__3929_8457257861"/>
                  <w:r>
                    <w:rPr>
                      <w:rFonts w:ascii="DejaVu Serif" w:hAnsi="DejaVu Serif"/>
                      <w:sz w:val="16"/>
                      <w:szCs w:val="16"/>
                    </w:rPr>
                    <w:t>${</w:t>
                  </w:r>
                  <w:bookmarkStart w:id="48" w:name="__DdeLink__1320_6556196291"/>
                  <w:r>
                    <w:rPr>
                      <w:rFonts w:ascii="DejaVu Serif" w:hAnsi="DejaVu Serif"/>
                      <w:sz w:val="16"/>
                      <w:szCs w:val="16"/>
                    </w:rPr>
                    <w:t>resignationTrustee</w:t>
                  </w:r>
                  <w:bookmarkEnd w:id="48"/>
                  <w:r>
                    <w:rPr>
                      <w:rFonts w:ascii="DejaVu Serif" w:hAnsi="DejaVu Serif"/>
                      <w:sz w:val="16"/>
                      <w:szCs w:val="16"/>
                    </w:rPr>
                    <w:t>}</w:t>
                  </w:r>
                  <w:bookmarkEnd w:id="47"/>
                </w:p>
              </w:tc>
            </w:tr>
          </w:tbl>
          <w:p>
            <w:pPr>
              <w:pStyle w:val="AWGBodyText"/>
              <w:spacing w:lineRule="auto" w:line="240" w:before="120" w:after="120"/>
              <w:jc w:val="left"/>
              <w:rPr>
                <w:rFonts w:ascii="DejaVu Serif" w:hAnsi="DejaVu Serif"/>
                <w:sz w:val="16"/>
                <w:szCs w:val="16"/>
              </w:rPr>
            </w:pPr>
            <w:r>
              <w:rPr>
                <w:sz w:val="16"/>
                <w:szCs w:val="16"/>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lang w:val="en-US"/>
              </w:rPr>
              <w:t>If checked, this Instrument effects the RESIGNATION of the Existing Trustee.</w:t>
            </w:r>
          </w:p>
        </w:tc>
      </w:tr>
      <w:tr>
        <w:trPr/>
        <w:tc>
          <w:tcPr>
            <w:tcW w:w="7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599" w:type="dxa"/>
              <w:jc w:val="left"/>
              <w:tblInd w:w="0" w:type="dxa"/>
              <w:tblCellMar>
                <w:top w:w="55" w:type="dxa"/>
                <w:left w:w="55" w:type="dxa"/>
                <w:bottom w:w="55" w:type="dxa"/>
                <w:right w:w="55" w:type="dxa"/>
              </w:tblCellMar>
            </w:tblPr>
            <w:tblGrid>
              <w:gridCol w:w="599"/>
            </w:tblGrid>
            <w:tr>
              <w:trPr/>
              <w:tc>
                <w:tcPr>
                  <w:tcW w:w="599"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120"/>
                    <w:jc w:val="center"/>
                    <w:rPr>
                      <w:rFonts w:ascii="DejaVu Serif" w:hAnsi="DejaVu Serif"/>
                    </w:rPr>
                  </w:pPr>
                  <w:r>
                    <w:rPr>
                      <w:rFonts w:ascii="DejaVu Serif" w:hAnsi="DejaVu Serif"/>
                      <w:sz w:val="16"/>
                      <w:szCs w:val="16"/>
                    </w:rPr>
                    <w:t>${</w:t>
                  </w:r>
                  <w:r>
                    <w:rPr>
                      <w:rFonts w:eastAsia="Calibri" w:cs="" w:ascii="DejaVu Serif" w:hAnsi="DejaVu Serif" w:cstheme="minorBidi" w:eastAsiaTheme="minorHAnsi"/>
                      <w:color w:val="auto"/>
                      <w:kern w:val="0"/>
                      <w:sz w:val="16"/>
                      <w:szCs w:val="16"/>
                      <w:lang w:val="en-US" w:eastAsia="ja-JP" w:bidi="ar-SA"/>
                    </w:rPr>
                    <w:t>removalTrustee</w:t>
                  </w:r>
                  <w:r>
                    <w:rPr>
                      <w:rFonts w:ascii="DejaVu Serif" w:hAnsi="DejaVu Serif"/>
                      <w:sz w:val="16"/>
                      <w:szCs w:val="16"/>
                    </w:rPr>
                    <w:t>}</w:t>
                  </w:r>
                </w:p>
              </w:tc>
            </w:tr>
          </w:tbl>
          <w:p>
            <w:pPr>
              <w:pStyle w:val="AWGBodyText"/>
              <w:spacing w:lineRule="auto" w:line="240" w:before="120" w:after="120"/>
              <w:jc w:val="left"/>
              <w:rPr>
                <w:rFonts w:ascii="DejaVu Serif" w:hAnsi="DejaVu Serif"/>
                <w:sz w:val="16"/>
                <w:szCs w:val="16"/>
              </w:rPr>
            </w:pPr>
            <w:r>
              <w:rPr>
                <w:sz w:val="16"/>
                <w:szCs w:val="16"/>
              </w:rPr>
            </w:r>
          </w:p>
        </w:tc>
        <w:tc>
          <w:tcPr>
            <w:tcW w:w="8245"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rPr>
                <w:rFonts w:ascii="DejaVu Serif" w:hAnsi="DejaVu Serif"/>
              </w:rPr>
            </w:pPr>
            <w:r>
              <w:rPr>
                <w:lang w:val="en-US"/>
              </w:rPr>
              <w:t>If checked, this Instrument effects the REMOVAL of the Existing Trustee.</w:t>
            </w:r>
          </w:p>
        </w:tc>
      </w:tr>
    </w:tbl>
    <w:p>
      <w:pPr>
        <w:pStyle w:val="AWGScheduleHeading1"/>
        <w:numPr>
          <w:ilvl w:val="0"/>
          <w:numId w:val="0"/>
        </w:numPr>
        <w:spacing w:before="0" w:after="240"/>
        <w:ind w:left="720" w:hanging="720"/>
        <w:rPr/>
      </w:pPr>
      <w:r>
        <w:rPr/>
      </w:r>
    </w:p>
    <w:sectPr>
      <w:headerReference w:type="default" r:id="rId17"/>
      <w:footerReference w:type="default" r:id="rId18"/>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7T16:47:1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17T16:48:3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(newTrusteeSignatures)</w:t>
      </w:r>
    </w:p>
  </w:comment>
  <w:comment w:id="4" w:author="Unknown Author" w:date="2020-03-19T09:38:2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6" w:author="Unknown Author" w:date="2020-03-17T16:55: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7T16:55: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3-17T16:55:5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7T16:56: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3-17T16:56: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3-17T16:56: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2" w:author="Unknown Author" w:date="2020-03-17T18:04: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7298018"/>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sdt>
    <w:sdtPr>
      <w:docPartObj>
        <w:docPartGallery w:val="Page Numbers (Bottom of Page)"/>
        <w:docPartUnique w:val="true"/>
      </w:docPartObj>
      <w:id w:val="381282165"/>
    </w:sdtPr>
    <w:sdtContent>
      <w:p>
        <w:pPr>
          <w:pStyle w:val="Footer"/>
          <w:jc w:val="center"/>
          <w:rPr>
            <w:rFonts w:ascii="DejaVu Serif" w:hAnsi="DejaVu Serif"/>
            <w:sz w:val="18"/>
            <w:szCs w:val="18"/>
          </w:rPr>
        </w:pPr>
        <w:r>
          <w:rPr>
            <w:sz w:val="18"/>
            <w:szCs w:val="18"/>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SIGNATURE PAGE</w:t>
    </w:r>
  </w:p>
  <w:p>
    <w:pPr>
      <w:pStyle w:val="Footer"/>
      <w:spacing w:lineRule="auto" w:line="240" w:before="0" w:after="0"/>
      <w:jc w:val="center"/>
      <w:rPr>
        <w:rFonts w:ascii="DejaVu Serif" w:hAnsi="DejaVu Serif"/>
      </w:rPr>
    </w:pPr>
    <w:r>
      <w:rPr>
        <w:sz w:val="18"/>
        <w:szCs w:val="18"/>
      </w:rPr>
      <w:t>(visual representation)</w:t>
    </w:r>
  </w:p>
  <w:sdt>
    <w:sdtPr>
      <w:docPartObj>
        <w:docPartGallery w:val="Page Numbers (Bottom of Page)"/>
        <w:docPartUnique w:val="true"/>
      </w:docPartObj>
      <w:id w:val="152555669"/>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7" w:name="__DdeLink__945_371514061012"/>
          <w:r>
            <w:rPr>
              <w:sz w:val="18"/>
              <w:szCs w:val="18"/>
            </w:rPr>
            <w:t>GATS Form Version:</w:t>
          </w:r>
          <w:bookmarkEnd w:id="37"/>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39" w:name="__DdeLink__945_3715140610112"/>
          <w:r>
            <w:rPr>
              <w:sz w:val="18"/>
              <w:szCs w:val="18"/>
            </w:rPr>
            <w:t>GATS Form Version:</w:t>
          </w:r>
          <w:bookmarkEnd w:id="39"/>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1" w:name="__DdeLink__945_37151406101112"/>
          <w:r>
            <w:rPr>
              <w:sz w:val="18"/>
              <w:szCs w:val="18"/>
            </w:rPr>
            <w:t>GATS Form Version:</w:t>
          </w:r>
          <w:bookmarkEnd w:id="41"/>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Cs w:val="18"/>
      </w:rPr>
      <w:t>SCHEDULE 3</w:t>
    </w:r>
  </w:p>
  <w:p>
    <w:pPr>
      <w:pStyle w:val="Footer"/>
      <w:spacing w:lineRule="auto" w:line="240" w:before="0" w:after="0"/>
      <w:jc w:val="center"/>
      <w:rPr>
        <w:rFonts w:ascii="DejaVu Serif" w:hAnsi="DejaVu Serif"/>
        <w:szCs w:val="18"/>
      </w:rPr>
    </w:pPr>
    <w:r>
      <w:rPr>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13</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15</w:t>
    </w:r>
    <w:r>
      <w:rPr>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3" w:name="__DdeLink__945_37151406101121"/>
          <w:r>
            <w:rPr>
              <w:szCs w:val="18"/>
            </w:rPr>
            <w:t>GATS Form Version:</w:t>
          </w:r>
          <w:bookmarkEnd w:id="43"/>
          <w:r>
            <w:rPr>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5" w:name="__DdeLink__945_37151406101131"/>
          <w:r>
            <w:rPr>
              <w:sz w:val="18"/>
              <w:szCs w:val="18"/>
            </w:rPr>
            <w:t>GATS Form Version:</w:t>
          </w:r>
          <w:bookmarkEnd w:id="4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15</w:t>
    </w:r>
    <w:r>
      <w:rPr>
        <w:sz w:val="18"/>
        <w:szCs w:val="18"/>
      </w:rPr>
      <w:fldChar w:fldCharType="end"/>
    </w:r>
  </w:p>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bookmarkStart w:id="49" w:name="__DdeLink__945_3715140610114"/>
          <w:r>
            <w:rPr>
              <w:sz w:val="18"/>
              <w:szCs w:val="18"/>
            </w:rPr>
            <w:t>GATS Form Version:</w:t>
          </w:r>
          <w:bookmarkEnd w:id="49"/>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sz w:val="18"/>
              <w:szCs w:val="18"/>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-319405</wp:posOffset>
              </wp:positionV>
              <wp:extent cx="5754370" cy="1209675"/>
              <wp:effectExtent l="0" t="0" r="0" b="0"/>
              <wp:wrapNone/>
              <wp:docPr id="4" name="Shape1"/>
              <a:graphic xmlns:a="http://schemas.openxmlformats.org/drawingml/2006/main">
                <a:graphicData uri="http://schemas.microsoft.com/office/word/2010/wordprocessingShape">
                  <wps:wsp>
                    <wps:cNvSpPr/>
                    <wps:spPr>
                      <a:xfrm>
                        <a:off x="0" y="0"/>
                        <a:ext cx="575388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5.15pt;width:453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Calibri" w:cs="" w:ascii="DejaVu Serif" w:hAnsi="DejaVu Serif" w:cstheme="minorBidi" w:eastAsiaTheme="minorHAnsi"/>
                        <w:b/>
                        <w:bCs/>
                        <w:color w:val="000000"/>
                        <w:kern w:val="0"/>
                        <w:sz w:val="16"/>
                        <w:szCs w:val="16"/>
                        <w:lang w:val="en-US" w:eastAsia="ja-JP" w:bidi="ar-SA"/>
                      </w:rPr>
                      <w:t>Due</w:t>
                    </w:r>
                    <w:r>
                      <w:rPr>
                        <w:rFonts w:eastAsia="Calibri"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GATS TRANSFER INSTRUMENT (SUCCESSOR TRUSTEE TRANSACTION) (IE)</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suppressAutoHyphens w:val="true"/>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c0d04"/>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Annotationreference">
    <w:name w:val="annotation reference"/>
    <w:basedOn w:val="DefaultParagraphFont"/>
    <w:uiPriority w:val="99"/>
    <w:semiHidden/>
    <w:unhideWhenUsed/>
    <w:qFormat/>
    <w:rsid w:val="00c3669b"/>
    <w:rPr>
      <w:sz w:val="16"/>
      <w:szCs w:val="16"/>
    </w:rPr>
  </w:style>
  <w:style w:type="character" w:styleId="CommentTextChar" w:customStyle="1">
    <w:name w:val="Comment Text Char"/>
    <w:basedOn w:val="DefaultParagraphFont"/>
    <w:link w:val="CommentText"/>
    <w:uiPriority w:val="99"/>
    <w:semiHidden/>
    <w:qFormat/>
    <w:rsid w:val="00c3669b"/>
    <w:rPr/>
  </w:style>
  <w:style w:type="character" w:styleId="CommentSubjectChar" w:customStyle="1">
    <w:name w:val="Comment Subject Char"/>
    <w:basedOn w:val="CommentTextChar"/>
    <w:link w:val="CommentSubject"/>
    <w:uiPriority w:val="99"/>
    <w:semiHidden/>
    <w:qFormat/>
    <w:rsid w:val="00c3669b"/>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c0d04"/>
    <w:pPr>
      <w:widowControl w:val="false"/>
      <w:spacing w:lineRule="auto" w:line="240" w:before="0" w:after="240"/>
      <w:jc w:val="both"/>
    </w:pPr>
    <w:rPr>
      <w:rFonts w:ascii="DejaVu Serif" w:hAnsi="DejaVu Serif"/>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c0d04"/>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suppressAutoHyphens w:val="tru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widowControl w:val="false"/>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a34b54"/>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0c0d04"/>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0c0d04"/>
    <w:pPr>
      <w:widowControl w:val="false"/>
    </w:pPr>
    <w:rPr>
      <w:b/>
      <w:caps/>
    </w:rPr>
  </w:style>
  <w:style w:type="paragraph" w:styleId="AWGNumberedList22C" w:customStyle="1">
    <w:name w:val="AWG Numbered List 2 (2C)"/>
    <w:basedOn w:val="AWGBodyText12C"/>
    <w:next w:val="AWGBodyText12C"/>
    <w:qFormat/>
    <w:rsid w:val="000c0d04"/>
    <w:pPr/>
    <w:rPr/>
  </w:style>
  <w:style w:type="paragraph" w:styleId="AWGNumberedListAlt32C" w:customStyle="1">
    <w:name w:val="AWG Numbered List Alt 3 (2C)"/>
    <w:basedOn w:val="AWGNumberedList22C"/>
    <w:next w:val="AWGBodyText12C"/>
    <w:qFormat/>
    <w:rsid w:val="000c0d04"/>
    <w:pPr/>
    <w:rPr/>
  </w:style>
  <w:style w:type="paragraph" w:styleId="AWGNumberedList32C" w:customStyle="1">
    <w:name w:val="AWG Numbered List 3 (2C)"/>
    <w:basedOn w:val="Normal"/>
    <w:next w:val="Normal"/>
    <w:qFormat/>
    <w:rsid w:val="000c0d04"/>
    <w:pPr>
      <w:spacing w:lineRule="auto" w:line="240"/>
      <w:jc w:val="both"/>
    </w:pPr>
    <w:rPr>
      <w:sz w:val="18"/>
      <w:lang w:val="en-GB"/>
    </w:rPr>
  </w:style>
  <w:style w:type="paragraph" w:styleId="AWGNumberedList42C" w:customStyle="1">
    <w:name w:val="AWG Numbered List 4 (2C)"/>
    <w:basedOn w:val="Normal"/>
    <w:next w:val="Normal"/>
    <w:qFormat/>
    <w:rsid w:val="000c0d04"/>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0c0d04"/>
    <w:pPr>
      <w:spacing w:lineRule="auto" w:line="240"/>
      <w:jc w:val="both"/>
    </w:pPr>
    <w:rPr>
      <w:sz w:val="18"/>
      <w:lang w:val="en-GB"/>
    </w:rPr>
  </w:style>
  <w:style w:type="paragraph" w:styleId="AWGNumberedListAlt42C" w:customStyle="1">
    <w:name w:val="AWG Numbered List Alt 4 (2C)"/>
    <w:basedOn w:val="AWGNumberedList32C"/>
    <w:next w:val="Normal"/>
    <w:qFormat/>
    <w:rsid w:val="000c0d04"/>
    <w:pPr/>
    <w:rPr/>
  </w:style>
  <w:style w:type="paragraph" w:styleId="AWGDef2C" w:customStyle="1">
    <w:name w:val="AWG Def (2C)"/>
    <w:basedOn w:val="AWGBodyText2C"/>
    <w:qFormat/>
    <w:rsid w:val="000c0d04"/>
    <w:pPr/>
    <w:rPr/>
  </w:style>
  <w:style w:type="paragraph" w:styleId="AWGDefPara2C" w:customStyle="1">
    <w:name w:val="AWG Def Para (2C)"/>
    <w:basedOn w:val="AWGBodyText12C"/>
    <w:qFormat/>
    <w:rsid w:val="000c0d04"/>
    <w:pPr/>
    <w:rPr/>
  </w:style>
  <w:style w:type="paragraph" w:styleId="AWGNumberedList52C" w:customStyle="1">
    <w:name w:val="AWG Numbered List 5 (2C)"/>
    <w:basedOn w:val="Normal"/>
    <w:qFormat/>
    <w:rsid w:val="000c0d04"/>
    <w:pPr>
      <w:spacing w:lineRule="auto" w:line="240"/>
      <w:jc w:val="both"/>
    </w:pPr>
    <w:rPr>
      <w:sz w:val="18"/>
      <w:lang w:val="en-GB"/>
    </w:rPr>
  </w:style>
  <w:style w:type="paragraph" w:styleId="AWGNumberedListAlt52C" w:customStyle="1">
    <w:name w:val="AWG Numbered List Alt 5 (2C)"/>
    <w:basedOn w:val="Normal"/>
    <w:qFormat/>
    <w:rsid w:val="000c0d04"/>
    <w:pPr>
      <w:spacing w:lineRule="auto" w:line="240"/>
      <w:jc w:val="both"/>
    </w:pPr>
    <w:rPr>
      <w:sz w:val="18"/>
      <w:lang w:val="en-GB"/>
    </w:rPr>
  </w:style>
  <w:style w:type="paragraph" w:styleId="AWGNumberedList2" w:customStyle="1">
    <w:name w:val="AWG Numbered List 2"/>
    <w:basedOn w:val="Normal"/>
    <w:next w:val="Normal"/>
    <w:qFormat/>
    <w:rsid w:val="002a6661"/>
    <w:pPr>
      <w:tabs>
        <w:tab w:val="clear" w:pos="720"/>
        <w:tab w:val="left" w:pos="454" w:leader="none"/>
      </w:tabs>
      <w:spacing w:lineRule="auto" w:line="240"/>
      <w:ind w:left="454" w:hanging="454"/>
      <w:jc w:val="both"/>
    </w:pPr>
    <w:rPr>
      <w:sz w:val="18"/>
      <w:lang w:val="en-GB"/>
    </w:rPr>
  </w:style>
  <w:style w:type="paragraph" w:styleId="Annotationtext">
    <w:name w:val="annotation text"/>
    <w:basedOn w:val="Normal"/>
    <w:link w:val="CommentTextChar"/>
    <w:uiPriority w:val="99"/>
    <w:semiHidden/>
    <w:unhideWhenUsed/>
    <w:qFormat/>
    <w:rsid w:val="00c3669b"/>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c3669b"/>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articipant">
    <w:name w:val="participant"/>
    <w:basedOn w:val="AWGBodyText"/>
    <w:qFormat/>
    <w:pPr>
      <w:spacing w:lineRule="auto" w:line="240" w:before="0" w:after="0"/>
    </w:pPr>
    <w:rPr>
      <w:b/>
    </w:rPr>
  </w:style>
  <w:style w:type="paragraph" w:styleId="1participant">
    <w:name w:val="1participant"/>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comments" Target="comment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C7CC-9A0C-4F8F-8E6B-75BC3814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LibreOffice/6.4.3.2$MacOSX_X86_64 LibreOffice_project/747b5d0ebf89f41c860ec2a39efd7cb15b54f2d8</Application>
  <Pages>15</Pages>
  <Words>3350</Words>
  <Characters>18204</Characters>
  <CharactersWithSpaces>21244</CharactersWithSpaces>
  <Paragraphs>266</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2020-02-27T12:22:00Z</dcterms:created>
  <dc:creator>Pearson, Dominic</dc:creator>
  <dc:description/>
  <dc:language>en-US</dc:language>
  <cp:lastModifiedBy/>
  <cp:lastPrinted>2019-03-29T16:23:00Z</cp:lastPrinted>
  <dcterms:modified xsi:type="dcterms:W3CDTF">2020-10-02T15:00:50Z</dcterms:modified>
  <cp:revision>186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#4827-4262-2841v8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