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40"/>
        <w:gridCol w:w="5903"/>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mc:AlternateContent>
                <mc:Choice Requires="wps">
                  <w:drawing>
                    <wp:anchor behindDoc="0" distT="0" distB="0" distL="0" distR="0" simplePos="0" locked="0" layoutInCell="1" allowOverlap="1" relativeHeight="2" wp14:anchorId="4AE2B000">
                      <wp:simplePos x="0" y="0"/>
                      <wp:positionH relativeFrom="column">
                        <wp:posOffset>3954780</wp:posOffset>
                      </wp:positionH>
                      <wp:positionV relativeFrom="paragraph">
                        <wp:posOffset>189865</wp:posOffset>
                      </wp:positionV>
                      <wp:extent cx="252730" cy="176530"/>
                      <wp:effectExtent l="0" t="0" r="9525" b="9525"/>
                      <wp:wrapNone/>
                      <wp:docPr id="1" name="Text Box 3"/>
                      <a:graphic xmlns:a="http://schemas.openxmlformats.org/drawingml/2006/main">
                        <a:graphicData uri="http://schemas.microsoft.com/office/word/2010/wordprocessingShape">
                          <wps:wsp>
                            <wps:cNvSpPr/>
                            <wps:spPr>
                              <a:xfrm>
                                <a:off x="0" y="0"/>
                                <a:ext cx="252000" cy="176040"/>
                              </a:xfrm>
                              <a:prstGeom prst="rect">
                                <a:avLst/>
                              </a:prstGeom>
                              <a:noFill/>
                              <a:ln w="6480">
                                <a:noFill/>
                              </a:ln>
                            </wps:spPr>
                            <wps:style>
                              <a:lnRef idx="0"/>
                              <a:fillRef idx="0"/>
                              <a:effectRef idx="0"/>
                              <a:fontRef idx="minor"/>
                            </wps:style>
                            <wps:txbx>
                              <w:txbxContent>
                                <w:p>
                                  <w:pPr>
                                    <w:pStyle w:val="FrameContents"/>
                                    <w:spacing w:before="0" w:after="0"/>
                                    <w:rPr>
                                      <w:color w:val="000000"/>
                                    </w:rPr>
                                  </w:pPr>
                                  <w:r>
                                    <w:rPr>
                                      <w:color w:val="000000"/>
                                    </w:rPr>
                                  </w:r>
                                </w:p>
                              </w:txbxContent>
                            </wps:txbx>
                            <wps:bodyPr lIns="0" rIns="0" tIns="0" bIns="0">
                              <a:noAutofit/>
                            </wps:bodyPr>
                          </wps:wsp>
                        </a:graphicData>
                      </a:graphic>
                    </wp:anchor>
                  </w:drawing>
                </mc:Choice>
                <mc:Fallback>
                  <w:pict>
                    <v:rect id="shape_0" ID="Text Box 3" stroked="f" style="position:absolute;margin-left:311.4pt;margin-top:14.95pt;width:19.8pt;height:13.8pt" wp14:anchorId="4AE2B000">
                      <w10:wrap type="none"/>
                      <v:fill o:detectmouseclick="t" on="false"/>
                      <v:stroke color="#3465a4" weight="6480" joinstyle="round" endcap="flat"/>
                      <v:textbox>
                        <w:txbxContent>
                          <w:p>
                            <w:pPr>
                              <w:pStyle w:val="FrameContents"/>
                              <w:spacing w:before="0" w:after="0"/>
                              <w:rPr>
                                <w:color w:val="000000"/>
                              </w:rPr>
                            </w:pPr>
                            <w:r>
                              <w:rPr>
                                <w:color w:val="000000"/>
                              </w:rPr>
                            </w:r>
                          </w:p>
                        </w:txbxContent>
                      </v:textbox>
                    </v:rect>
                  </w:pict>
                </mc:Fallback>
              </mc:AlternateContent>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4" wp14:anchorId="4AE2B000">
                      <wp:simplePos x="0" y="0"/>
                      <wp:positionH relativeFrom="column">
                        <wp:posOffset>3888105</wp:posOffset>
                      </wp:positionH>
                      <wp:positionV relativeFrom="paragraph">
                        <wp:posOffset>238760</wp:posOffset>
                      </wp:positionV>
                      <wp:extent cx="256540" cy="180340"/>
                      <wp:effectExtent l="0" t="0" r="9525" b="9525"/>
                      <wp:wrapNone/>
                      <wp:docPr id="3" name="Text Box 3"/>
                      <a:graphic xmlns:a="http://schemas.openxmlformats.org/drawingml/2006/main">
                        <a:graphicData uri="http://schemas.microsoft.com/office/word/2010/wordprocessingShape">
                          <wps:wsp>
                            <wps:cNvSpPr/>
                            <wps:spPr>
                              <a:xfrm>
                                <a:off x="0" y="0"/>
                                <a:ext cx="255960" cy="17964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306.15pt;margin-top:18.8pt;width:20.1pt;height:14.1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Release and Discharge</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140"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03" w:type="dxa"/>
            <w:tcBorders>
              <w:top w:val="nil"/>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140"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03"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140" w:type="dxa"/>
            <w:tcBorders>
              <w:top w:val="nil"/>
              <w:left w:val="nil"/>
              <w:bottom w:val="nil"/>
            </w:tcBorders>
            <w:shd w:fill="auto" w:val="clear"/>
          </w:tcPr>
          <w:p>
            <w:pPr>
              <w:pStyle w:val="AWGBodyText"/>
              <w:spacing w:lineRule="auto" w:line="240" w:before="0" w:after="0"/>
              <w:jc w:val="right"/>
              <w:rPr>
                <w:b/>
                <w:b/>
              </w:rPr>
            </w:pPr>
            <w:r>
              <w:rPr>
                <w:b/>
              </w:rPr>
              <w:t>Name of Trust:</w:t>
            </w:r>
          </w:p>
        </w:tc>
        <w:tc>
          <w:tcPr>
            <w:tcW w:w="5903"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w:t>
            </w:r>
            <w:r>
              <w:rPr>
                <w:color w:val="000000"/>
                <w:sz w:val="18"/>
                <w:lang w:val="en-US"/>
              </w:rPr>
              <w:t>name</w:t>
            </w:r>
            <w:r>
              <w:rPr>
                <w:color w:val="000000"/>
                <w:lang w:val="en-US"/>
              </w:rPr>
              <w:t>}</w:t>
            </w:r>
          </w:p>
        </w:tc>
      </w:tr>
      <w:tr>
        <w:trPr/>
        <w:tc>
          <w:tcPr>
            <w:tcW w:w="3140" w:type="dxa"/>
            <w:tcBorders>
              <w:top w:val="nil"/>
              <w:left w:val="nil"/>
              <w:bottom w:val="nil"/>
            </w:tcBorders>
            <w:shd w:fill="auto" w:val="clear"/>
          </w:tcPr>
          <w:p>
            <w:pPr>
              <w:pStyle w:val="AWGBodyText"/>
              <w:spacing w:lineRule="auto" w:line="240" w:before="0" w:after="0"/>
              <w:jc w:val="right"/>
              <w:rPr>
                <w:b/>
                <w:b/>
              </w:rPr>
            </w:pPr>
            <w:r>
              <w:rPr>
                <w:b/>
              </w:rPr>
              <w:t>Effective Time:</w:t>
            </w:r>
          </w:p>
        </w:tc>
        <w:tc>
          <w:tcPr>
            <w:tcW w:w="5903" w:type="dxa"/>
            <w:tcBorders>
              <w:top w:val="nil"/>
              <w:bottom w:val="nil"/>
              <w:right w:val="nil"/>
            </w:tcBorders>
            <w:shd w:fill="auto" w:val="clear"/>
          </w:tcPr>
          <w:p>
            <w:pPr>
              <w:pStyle w:val="AWGBodyText"/>
              <w:spacing w:lineRule="auto" w:line="240" w:before="0" w:after="0"/>
              <w:rPr>
                <w:color w:val="FFFFFF"/>
              </w:rPr>
            </w:pPr>
            <w:r>
              <w:rPr>
                <w:color w:val="FFFFFF"/>
                <w:lang w:val="en-US"/>
              </w:rPr>
              <w:t>${sealSignature}</w:t>
            </w:r>
          </w:p>
        </w:tc>
      </w:tr>
      <w:tr>
        <w:trPr/>
        <w:tc>
          <w:tcPr>
            <w:tcW w:w="3140"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03"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pStyle w:val="AWGBodyText"/>
        <w:rPr>
          <w:rFonts w:ascii="DejaVu Serif" w:hAnsi="DejaVu Serif"/>
        </w:rPr>
      </w:pPr>
      <w:r>
        <w:rPr>
          <w:b/>
        </w:rPr>
        <w:t xml:space="preserve">THIS GATS RELEASE AND DISCHARGE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SECURED PARTY from time to time, acting in the capacity as indicated in the GATS Security Instrument; and</w:t>
      </w:r>
    </w:p>
    <w:p>
      <w:pPr>
        <w:pStyle w:val="AWGParties"/>
        <w:numPr>
          <w:ilvl w:val="0"/>
          <w:numId w:val="1"/>
        </w:numPr>
        <w:rPr>
          <w:rFonts w:ascii="DejaVu Serif" w:hAnsi="DejaVu Serif"/>
        </w:rPr>
      </w:pPr>
      <w:r>
        <w:rPr/>
        <w:t>the BENEFICIARY.</w:t>
      </w:r>
    </w:p>
    <w:p>
      <w:pPr>
        <w:pStyle w:val="AWGParties"/>
        <w:numPr>
          <w:ilvl w:val="0"/>
          <w:numId w:val="0"/>
        </w:numPr>
        <w:ind w:left="720" w:hanging="720"/>
        <w:rPr/>
      </w:pPr>
      <w:r>
        <w:rPr>
          <w:b/>
        </w:rPr>
        <w:t>IT IS AGREED AS FOLLOWS</w:t>
      </w:r>
      <w:r>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12288"/>
        </w:sectPr>
      </w:pPr>
    </w:p>
    <w:p>
      <w:pPr>
        <w:pStyle w:val="AWGNumberedList12C"/>
        <w:numPr>
          <w:ilvl w:val="0"/>
          <w:numId w:val="4"/>
        </w:numPr>
        <w:rPr/>
      </w:pPr>
      <w:bookmarkStart w:id="2" w:name="_Toc525847168"/>
      <w:r>
        <w:rPr/>
        <w:t>Definition</w:t>
      </w:r>
      <w:bookmarkEnd w:id="2"/>
      <w:r>
        <w:rPr/>
        <w:t>s</w:t>
      </w:r>
    </w:p>
    <w:p>
      <w:pPr>
        <w:pStyle w:val="AWGBodyText2C"/>
        <w:rPr>
          <w:rFonts w:ascii="DejaVu Serif" w:hAnsi="DejaVu Serif"/>
        </w:rPr>
      </w:pPr>
      <w:bookmarkStart w:id="3" w:name="_Ref525842536"/>
      <w:r>
        <w:rPr/>
        <w:t>Unless otherwise defined in this Instrument, capitalised terms used in this Instrument have the meaning given to them in the GATS Security Instrument (including those incorporated by reference to the Master Terms). In this Instrument, unless the contrary intention appears:</w:t>
      </w:r>
    </w:p>
    <w:p>
      <w:pPr>
        <w:pStyle w:val="AWGDef2C"/>
        <w:numPr>
          <w:ilvl w:val="0"/>
          <w:numId w:val="3"/>
        </w:numPr>
        <w:rPr/>
      </w:pPr>
      <w:r>
        <w:rPr>
          <w:b/>
        </w:rPr>
        <w:t xml:space="preserve">Beneficiary </w:t>
      </w:r>
      <w:r>
        <w:rPr/>
        <w:t xml:space="preserve">means the person identified as the ‘Beneficiary’ in </w:t>
      </w:r>
      <w:bookmarkStart w:id="4" w:name="__DdeLink__686_2398839049"/>
      <w:r>
        <w:rPr/>
        <w:t>Schedule</w:t>
      </w:r>
      <w:bookmarkEnd w:id="4"/>
      <w:r>
        <w:rPr/>
        <w:t xml:space="preserve"> 2 (</w:t>
      </w:r>
      <w:r>
        <w:rPr>
          <w:i/>
        </w:rPr>
        <w:t>Party Details</w:t>
      </w:r>
      <w:r>
        <w:rPr/>
        <w:t>).</w:t>
      </w:r>
    </w:p>
    <w:p>
      <w:pPr>
        <w:pStyle w:val="AWGDef2C"/>
        <w:numPr>
          <w:ilvl w:val="0"/>
          <w:numId w:val="3"/>
        </w:numPr>
        <w:rPr>
          <w:rFonts w:ascii="DejaVu Serif" w:hAnsi="DejaVu Serif"/>
        </w:rPr>
      </w:pPr>
      <w:r>
        <w:rPr>
          <w:b/>
        </w:rPr>
        <w:t>Effective Time</w:t>
      </w:r>
      <w:r>
        <w:rPr/>
        <w:t xml:space="preserve"> means the date and time at which this Instrument is executed and delivered, as described on the cover page of this Instrument.</w:t>
      </w:r>
      <w:r>
        <w:rPr>
          <w:b/>
        </w:rPr>
        <w:t xml:space="preserve"> </w:t>
      </w:r>
      <w:bookmarkStart w:id="5" w:name="_Hlk535260127"/>
      <w:bookmarkEnd w:id="5"/>
    </w:p>
    <w:p>
      <w:pPr>
        <w:pStyle w:val="AWGDef2C"/>
        <w:numPr>
          <w:ilvl w:val="0"/>
          <w:numId w:val="3"/>
        </w:numPr>
        <w:rPr/>
      </w:pPr>
      <w:r>
        <w:rPr>
          <w:b/>
        </w:rPr>
        <w:t xml:space="preserve">GATS Security Instrument </w:t>
      </w:r>
      <w:r>
        <w:rPr/>
        <w:t>means the GATS Security Instrument relating to the GATS Trust among the Beneficiary, the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3 (</w:t>
      </w:r>
      <w:r>
        <w:rPr>
          <w:i/>
        </w:rPr>
        <w:t>Description of GATS Security Documents</w:t>
      </w:r>
      <w:r>
        <w:rPr/>
        <w:t>).</w:t>
      </w:r>
    </w:p>
    <w:p>
      <w:pPr>
        <w:pStyle w:val="AWGDef2C"/>
        <w:numPr>
          <w:ilvl w:val="0"/>
          <w:numId w:val="3"/>
        </w:numPr>
        <w:rPr/>
      </w:pPr>
      <w:r>
        <w:rPr>
          <w:b/>
        </w:rPr>
        <w:t>GATS Trust</w:t>
      </w:r>
      <w:r>
        <w:rPr/>
        <w:t xml:space="preserve"> means the trust created pursuant to the GATS Trust Instrument or the Previous Trust Instrument (as defined in the GATS Trust Instrument), as applicable, with the name and UIN as identified in Schedule 1 (</w:t>
      </w:r>
      <w:r>
        <w:rPr>
          <w:i/>
        </w:rPr>
        <w:t>Description of GATS Trust</w:t>
      </w:r>
      <w:r>
        <w:rPr/>
        <w:t>).</w:t>
      </w:r>
    </w:p>
    <w:p>
      <w:pPr>
        <w:pStyle w:val="AWGDef2C"/>
        <w:numPr>
          <w:ilvl w:val="0"/>
          <w:numId w:val="3"/>
        </w:numPr>
        <w:rPr/>
      </w:pPr>
      <w:r>
        <w:rPr>
          <w:b/>
        </w:rPr>
        <w:t>Secured Party</w:t>
      </w:r>
      <w:r>
        <w:rPr/>
        <w:t xml:space="preserve"> means the person identified as the ‘Secured Party’ in Schedule 2 (</w:t>
      </w:r>
      <w:r>
        <w:rPr>
          <w:i/>
        </w:rPr>
        <w:t>Party Details</w:t>
      </w:r>
      <w:r>
        <w:rPr/>
        <w:t>), acting in the capacity as indicated in the GATS Security Instrument.</w:t>
      </w:r>
    </w:p>
    <w:p>
      <w:pPr>
        <w:pStyle w:val="AWGDef2C"/>
        <w:numPr>
          <w:ilvl w:val="0"/>
          <w:numId w:val="3"/>
        </w:numPr>
        <w:rPr>
          <w:rFonts w:ascii="DejaVu Serif" w:hAnsi="DejaVu Serif"/>
        </w:rPr>
      </w:pPr>
      <w:r>
        <w:rPr>
          <w:b/>
          <w:color w:val="000000" w:themeColor="text1"/>
        </w:rPr>
        <w:t>Surviving Provisions</w:t>
      </w:r>
      <w:r>
        <w:rPr>
          <w:color w:val="000000" w:themeColor="text1"/>
        </w:rPr>
        <w:t xml:space="preserve"> </w:t>
      </w:r>
      <w:r>
        <w:rPr/>
        <w:t>means</w:t>
      </w:r>
      <w:r>
        <w:rPr>
          <w:color w:val="000000" w:themeColor="text1"/>
        </w:rPr>
        <w:t>:</w:t>
      </w:r>
    </w:p>
    <w:p>
      <w:pPr>
        <w:pStyle w:val="AWGDefPara2C"/>
        <w:numPr>
          <w:ilvl w:val="1"/>
          <w:numId w:val="3"/>
        </w:numPr>
        <w:rPr>
          <w:rFonts w:ascii="DejaVu Serif" w:hAnsi="DejaVu Serif"/>
        </w:rPr>
      </w:pPr>
      <w:r>
        <w:rPr/>
        <w:t>section 3.2 of the GATS Security Instrument and sections 3.3 and 3.4 of the Master Terms;</w:t>
      </w:r>
    </w:p>
    <w:p>
      <w:pPr>
        <w:pStyle w:val="AWGDefPara2C"/>
        <w:numPr>
          <w:ilvl w:val="1"/>
          <w:numId w:val="3"/>
        </w:numPr>
        <w:rPr>
          <w:rFonts w:ascii="DejaVu Serif" w:hAnsi="DejaVu Serif"/>
        </w:rPr>
      </w:pPr>
      <w:r>
        <w:rPr/>
        <w:t>any other provisions of any GATS Security Document which the terms of any other Finance Document state are to expressly survive the execution of this Instrument; and</w:t>
      </w:r>
    </w:p>
    <w:p>
      <w:pPr>
        <w:pStyle w:val="AWGDefPara2C"/>
        <w:numPr>
          <w:ilvl w:val="1"/>
          <w:numId w:val="3"/>
        </w:numPr>
        <w:rPr>
          <w:rFonts w:ascii="DejaVu Serif" w:hAnsi="DejaVu Serif"/>
        </w:rPr>
      </w:pPr>
      <w:bookmarkStart w:id="6" w:name="_Hlk535260266"/>
      <w:r>
        <w:rPr/>
        <w:t>any other provisions of the GATS Security Instrument or the Master Terms, or any capitalised terms used in this Instrument which are defined in the GATS Security Instrument or the Master Terms, in each case necessary to give effect to the foregoing</w:t>
      </w:r>
      <w:bookmarkEnd w:id="6"/>
      <w:r>
        <w:rPr/>
        <w:t>.</w:t>
      </w:r>
    </w:p>
    <w:p>
      <w:pPr>
        <w:pStyle w:val="AWGDef2C"/>
        <w:numPr>
          <w:ilvl w:val="0"/>
          <w:numId w:val="3"/>
        </w:numPr>
        <w:rPr/>
      </w:pPr>
      <w:r>
        <w:rPr>
          <w:b/>
        </w:rPr>
        <w:t>Trustee</w:t>
      </w:r>
      <w:r>
        <w:rPr/>
        <w:t xml:space="preserve"> means the person identified as the ‘Trustee’ in Schedule 2 (</w:t>
      </w:r>
      <w:r>
        <w:rPr>
          <w:i/>
        </w:rPr>
        <w:t>Party Details</w:t>
      </w:r>
      <w:r>
        <w:rPr/>
        <w:t>).</w:t>
      </w:r>
    </w:p>
    <w:p>
      <w:pPr>
        <w:pStyle w:val="AWGNumberedList12C"/>
        <w:numPr>
          <w:ilvl w:val="0"/>
          <w:numId w:val="4"/>
        </w:numPr>
        <w:rPr>
          <w:rFonts w:ascii="DejaVu Serif" w:hAnsi="DejaVu Serif"/>
        </w:rPr>
      </w:pPr>
      <w:r>
        <w:rPr/>
        <w:t>Release and Discharge</w:t>
      </w:r>
    </w:p>
    <w:p>
      <w:pPr>
        <w:pStyle w:val="AWGNumberedList22C"/>
        <w:numPr>
          <w:ilvl w:val="1"/>
          <w:numId w:val="4"/>
        </w:numPr>
        <w:rPr>
          <w:rFonts w:ascii="DejaVu Serif" w:hAnsi="DejaVu Serif"/>
        </w:rPr>
      </w:pPr>
      <w:bookmarkStart w:id="7" w:name="_Ref18497752"/>
      <w:r>
        <w:rPr/>
        <w:t>Release, Discharge and Reassignment of Security Interest</w:t>
      </w:r>
      <w:bookmarkEnd w:id="7"/>
    </w:p>
    <w:p>
      <w:pPr>
        <w:pStyle w:val="AWGBodyText12C"/>
        <w:rPr>
          <w:rFonts w:ascii="DejaVu Serif" w:hAnsi="DejaVu Serif"/>
        </w:rPr>
      </w:pPr>
      <w:r>
        <w:rPr/>
        <w:t>With effect from the Effective Time, and without recourse, representation or warranty (except as expressly provided in this Instrument), the Secured Party, for itself and, if acting as agent or trustee on behalf of certain other secured parties, on behalf of such secured parties, releases, discharges and reassigns all of its right, title, benefit and interest in and to the Security Interests created, granted, assigned, charged and conferred in or over the Collateral, free and clear of any Security Interests created by the Secured Party or any person acting through the Secured Party.</w:t>
      </w:r>
    </w:p>
    <w:p>
      <w:pPr>
        <w:pStyle w:val="AWGNumberedList22C"/>
        <w:numPr>
          <w:ilvl w:val="1"/>
          <w:numId w:val="4"/>
        </w:numPr>
        <w:rPr>
          <w:rFonts w:ascii="DejaVu Serif" w:hAnsi="DejaVu Serif"/>
        </w:rPr>
      </w:pPr>
      <w:bookmarkStart w:id="8" w:name="_Ref18497771"/>
      <w:r>
        <w:rPr/>
        <w:t>Termination of GATS Security Instrument</w:t>
      </w:r>
      <w:bookmarkEnd w:id="8"/>
    </w:p>
    <w:p>
      <w:pPr>
        <w:pStyle w:val="AWGBodyText12C"/>
        <w:rPr>
          <w:rFonts w:ascii="DejaVu Serif" w:hAnsi="DejaVu Serif"/>
        </w:rPr>
      </w:pPr>
      <w:bookmarkStart w:id="9" w:name="_Ref525842821"/>
      <w:bookmarkStart w:id="10" w:name="_Toc525847196"/>
      <w:bookmarkEnd w:id="9"/>
      <w:bookmarkEnd w:id="10"/>
      <w:r>
        <w:rPr/>
        <w:t>With effect from the Effective Time and except for the Surviving Provisions:</w:t>
      </w:r>
    </w:p>
    <w:p>
      <w:pPr>
        <w:pStyle w:val="AWGNumberedListAlt32C"/>
        <w:numPr>
          <w:ilvl w:val="3"/>
          <w:numId w:val="4"/>
        </w:numPr>
        <w:rPr>
          <w:rFonts w:ascii="DejaVu Serif" w:hAnsi="DejaVu Serif"/>
        </w:rPr>
      </w:pPr>
      <w:r>
        <w:rPr/>
        <w:t>the Secured Party releases and discharges each of the Beneficiary and the Trustee from all of its duties, obligations and liabilities under the GATS Security Instrument; and</w:t>
      </w:r>
    </w:p>
    <w:p>
      <w:pPr>
        <w:pStyle w:val="AWGNumberedListAlt32C"/>
        <w:numPr>
          <w:ilvl w:val="3"/>
          <w:numId w:val="4"/>
        </w:numPr>
        <w:rPr>
          <w:rFonts w:ascii="DejaVu Serif" w:hAnsi="DejaVu Serif"/>
        </w:rPr>
      </w:pPr>
      <w:r>
        <w:rPr/>
        <w:t>the GATS Security Instrument is terminated and shall have no further force and effect.</w:t>
      </w:r>
    </w:p>
    <w:p>
      <w:pPr>
        <w:pStyle w:val="AWGNumberedList22C"/>
        <w:numPr>
          <w:ilvl w:val="1"/>
          <w:numId w:val="4"/>
        </w:numPr>
        <w:rPr>
          <w:rFonts w:ascii="DejaVu Serif" w:hAnsi="DejaVu Serif"/>
        </w:rPr>
      </w:pPr>
      <w:bookmarkStart w:id="11" w:name="_Ref5258428211"/>
      <w:bookmarkStart w:id="12" w:name="_Toc5258471961"/>
      <w:bookmarkEnd w:id="11"/>
      <w:bookmarkEnd w:id="12"/>
      <w:r>
        <w:rPr/>
        <w:t>Trustee a Third Party Beneficiary</w:t>
      </w:r>
    </w:p>
    <w:p>
      <w:pPr>
        <w:pStyle w:val="AWGBodyText12C"/>
        <w:rPr>
          <w:rFonts w:ascii="DejaVu Serif" w:hAnsi="DejaVu Serif"/>
        </w:rPr>
      </w:pPr>
      <w:r>
        <w:rPr/>
        <w:t>The Trustee may enforce the rights expressed to be conferred on it under this Instrument. No consent of the Trustee shall be necessary for any amendment, modification, waiver or termination of any provision of this Instrument.</w:t>
      </w:r>
    </w:p>
    <w:p>
      <w:pPr>
        <w:pStyle w:val="AWGNumberedList12C"/>
        <w:numPr>
          <w:ilvl w:val="0"/>
          <w:numId w:val="4"/>
        </w:numPr>
        <w:rPr>
          <w:rFonts w:ascii="DejaVu Serif" w:hAnsi="DejaVu Serif"/>
        </w:rPr>
      </w:pPr>
      <w:r>
        <w:rPr/>
        <w:t>Further Assurance</w:t>
      </w:r>
    </w:p>
    <w:p>
      <w:pPr>
        <w:pStyle w:val="AWGBodyText12C"/>
        <w:rPr>
          <w:rFonts w:ascii="DejaVu Serif" w:hAnsi="DejaVu Serif"/>
        </w:rPr>
      </w:pPr>
      <w:r>
        <w:rPr/>
        <w:t>Each party to this Instrument covenants and agrees in favour of each other party and the Trustee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bookmarkStart w:id="13" w:name="_Ref528609173"/>
      <w:bookmarkStart w:id="14" w:name="_Hlk535260308"/>
      <w:bookmarkEnd w:id="13"/>
      <w:bookmarkEnd w:id="14"/>
    </w:p>
    <w:p>
      <w:pPr>
        <w:pStyle w:val="AWGNumberedList12C"/>
        <w:numPr>
          <w:ilvl w:val="0"/>
          <w:numId w:val="4"/>
        </w:numPr>
        <w:rPr>
          <w:rFonts w:ascii="DejaVu Serif" w:hAnsi="DejaVu Serif"/>
        </w:rPr>
      </w:pPr>
      <w:bookmarkStart w:id="15" w:name="_Ref526872824"/>
      <w:bookmarkStart w:id="16" w:name="_Toc525847197"/>
      <w:r>
        <w:rPr/>
        <w:t>Miscellaneous</w:t>
      </w:r>
      <w:bookmarkEnd w:id="15"/>
      <w:bookmarkEnd w:id="16"/>
    </w:p>
    <w:p>
      <w:pPr>
        <w:pStyle w:val="AWGNumberedList22C"/>
        <w:numPr>
          <w:ilvl w:val="1"/>
          <w:numId w:val="4"/>
        </w:numPr>
        <w:rPr>
          <w:rFonts w:ascii="DejaVu Serif" w:hAnsi="DejaVu Serif"/>
        </w:rPr>
      </w:pPr>
      <w:r>
        <w:rPr/>
        <w:t>Electronic and Digital Execution and Delivery</w:t>
      </w:r>
    </w:p>
    <w:p>
      <w:pPr>
        <w:pStyle w:val="AWGNumberedListAlt32C"/>
        <w:numPr>
          <w:ilvl w:val="3"/>
          <w:numId w:val="4"/>
        </w:numPr>
        <w:rPr>
          <w:rFonts w:ascii="DejaVu Serif" w:hAnsi="DejaVu Serif"/>
        </w:rPr>
      </w:pPr>
      <w:r>
        <w:rPr/>
        <w:t>Each party to this Instrument agrees that:</w:t>
      </w:r>
    </w:p>
    <w:p>
      <w:pPr>
        <w:pStyle w:val="AWGNumberedListAlt42C"/>
        <w:numPr>
          <w:ilvl w:val="5"/>
          <w:numId w:val="4"/>
        </w:numPr>
        <w:rPr>
          <w:rFonts w:ascii="DejaVu Serif" w:hAnsi="DejaVu Serif"/>
        </w:rPr>
      </w:pPr>
      <w:r>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rFonts w:ascii="DejaVu Serif" w:hAnsi="DejaVu Serif"/>
        </w:rPr>
      </w:pPr>
      <w:r>
        <w:rPr/>
        <w:t>in each case as if it had been, as applicable, signed, executed, delivered, effected, authenticated or time-stamped manually.</w:t>
      </w:r>
    </w:p>
    <w:p>
      <w:pPr>
        <w:pStyle w:val="AWGNumberedListAlt32C"/>
        <w:numPr>
          <w:ilvl w:val="3"/>
          <w:numId w:val="4"/>
        </w:numPr>
        <w:rPr/>
      </w:pPr>
      <w:r>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7" w:name="_Ref24464044"/>
      <w:r>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7"/>
    </w:p>
    <w:p>
      <w:pPr>
        <w:pStyle w:val="AWGNumberedListAlt32C"/>
        <w:numPr>
          <w:ilvl w:val="3"/>
          <w:numId w:val="4"/>
        </w:numPr>
        <w:rPr/>
      </w:pPr>
      <w:bookmarkStart w:id="18" w:name="_Ref24458113"/>
      <w:bookmarkStart w:id="19" w:name="_Hlk25326583"/>
      <w:bookmarkEnd w:id="19"/>
      <w:r>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8"/>
    </w:p>
    <w:p>
      <w:pPr>
        <w:pStyle w:val="AWGNumberedList22C"/>
        <w:numPr>
          <w:ilvl w:val="1"/>
          <w:numId w:val="4"/>
        </w:numPr>
        <w:rPr>
          <w:rFonts w:ascii="DejaVu Serif" w:hAnsi="DejaVu Serif"/>
        </w:rPr>
      </w:pPr>
      <w:r>
        <w:rPr/>
        <w:t>GATS Forms</w:t>
      </w:r>
    </w:p>
    <w:p>
      <w:pPr>
        <w:pStyle w:val="AWGBodyText12C"/>
        <w:rPr>
          <w:rFonts w:ascii="DejaVu Serif" w:hAnsi="DejaVu Serif"/>
        </w:rPr>
      </w:pPr>
      <w:r>
        <w:rPr/>
        <w:t>This Instrument is in the form of version 1.0 of the GATS Form for this Instrument.</w:t>
      </w:r>
    </w:p>
    <w:p>
      <w:pPr>
        <w:pStyle w:val="AWGNumberedList22C"/>
        <w:numPr>
          <w:ilvl w:val="1"/>
          <w:numId w:val="4"/>
        </w:numPr>
        <w:rPr>
          <w:rFonts w:ascii="DejaVu Serif" w:hAnsi="DejaVu Serif"/>
        </w:rPr>
      </w:pPr>
      <w:r>
        <w:rPr/>
        <w:t>Counterparts</w:t>
      </w:r>
    </w:p>
    <w:p>
      <w:pPr>
        <w:pStyle w:val="AWGBodyText12C"/>
        <w:rPr>
          <w:rFonts w:ascii="DejaVu Serif" w:hAnsi="DejaVu Serif"/>
        </w:rPr>
      </w:pPr>
      <w:bookmarkStart w:id="20" w:name="_Hlk27048836"/>
      <w:r>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20"/>
    </w:p>
    <w:p>
      <w:pPr>
        <w:pStyle w:val="AWGNumberedList22C"/>
        <w:numPr>
          <w:ilvl w:val="1"/>
          <w:numId w:val="4"/>
        </w:numPr>
        <w:rPr>
          <w:rFonts w:ascii="DejaVu Serif" w:hAnsi="DejaVu Serif"/>
        </w:rPr>
      </w:pPr>
      <w:bookmarkStart w:id="21" w:name="_Toc525847208"/>
      <w:r>
        <w:rPr/>
        <w:t>Governing Law</w:t>
      </w:r>
      <w:bookmarkEnd w:id="21"/>
    </w:p>
    <w:p>
      <w:pPr>
        <w:pStyle w:val="AWGBodyText12C"/>
        <w:rPr>
          <w:rFonts w:ascii="DejaVu Serif" w:hAnsi="DejaVu Serif"/>
        </w:rPr>
      </w:pPr>
      <w:bookmarkStart w:id="22" w:name="_Hlk32395608"/>
      <w:r>
        <w:rPr>
          <w:lang w:val="en-US"/>
        </w:rPr>
        <w:t>This Instrument and all non-contractual obligations arising out of or in connection with it will in all respects be governed by and construed in accordance with the laws of Singapore</w:t>
      </w:r>
      <w:bookmarkEnd w:id="22"/>
      <w:r>
        <w:rPr/>
        <w:t>.</w:t>
      </w:r>
      <w:bookmarkEnd w:id="3"/>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12288"/>
        </w:sectPr>
      </w:pPr>
    </w:p>
    <w:p>
      <w:pPr>
        <w:pStyle w:val="AWGBodyText1"/>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12288"/>
        </w:sectPr>
      </w:pPr>
    </w:p>
    <w:p>
      <w:pPr>
        <w:pStyle w:val="AWGBodyText"/>
        <w:rPr/>
      </w:pPr>
      <w:r>
        <w:rPr>
          <w:b/>
        </w:rPr>
        <w:t>IN WITNESS WHEREOF</w:t>
      </w:r>
      <w:r>
        <w:rPr/>
        <w:t>, this Instrument been duly executed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17"/>
        <w:gridCol w:w="6122"/>
      </w:tblGrid>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22" w:type="dxa"/>
            <w:tcBorders>
              <w:top w:val="nil"/>
              <w:left w:val="nil"/>
              <w:bottom w:val="nil"/>
              <w:right w:val="nil"/>
            </w:tcBorders>
            <w:shd w:fill="auto" w:val="clear"/>
          </w:tcPr>
          <w:p>
            <w:pPr>
              <w:pStyle w:val="1part"/>
              <w:spacing w:lineRule="auto" w:line="240" w:before="0" w:after="0"/>
              <w:rPr/>
            </w:pPr>
            <w:r>
              <w:rPr>
                <w:b/>
                <w:color w:val="000000"/>
                <w:lang w:val="en-US"/>
              </w:rPr>
              <w:t>${securedParty.name}</w:t>
            </w:r>
            <w:r>
              <w:rPr>
                <w:color w:val="000000"/>
                <w:lang w:val="en-US"/>
              </w:rPr>
              <w:t xml:space="preserve">, </w:t>
            </w:r>
            <w:r>
              <w:rPr>
                <w:b w:val="false"/>
                <w:bCs w:val="false"/>
                <w:color w:val="000000"/>
                <w:lang w:val="en-US"/>
              </w:rPr>
              <w:t>as Secured Party, acting in the capacity as indicated in the GATS Security Instrument</w:t>
            </w:r>
          </w:p>
        </w:tc>
      </w:tr>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122" w:type="dxa"/>
            <w:tcBorders>
              <w:top w:val="nil"/>
              <w:left w:val="nil"/>
              <w:bottom w:val="nil"/>
              <w:right w:val="nil"/>
            </w:tcBorders>
            <w:shd w:fill="auto" w:val="clear"/>
          </w:tcPr>
          <w:p>
            <w:pPr>
              <w:pStyle w:val="AWGBodyText"/>
              <w:spacing w:lineRule="auto" w:line="240" w:before="0" w:after="0"/>
              <w:rPr/>
            </w:pPr>
            <w:r>
              <w:rPr/>
              <w:t>By: ${by}</w:t>
            </w:r>
            <w:commentRangeEnd w:id="0"/>
            <w:r>
              <w:commentReference w:id="0"/>
            </w:r>
            <w:r>
              <w:rPr/>
            </w:r>
          </w:p>
          <w:p>
            <w:pPr>
              <w:pStyle w:val="AWGBodyText"/>
              <w:spacing w:lineRule="auto" w:line="240" w:before="0" w:after="0"/>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GB"/>
        </w:rPr>
      </w:pPr>
      <w:r>
        <w:rPr>
          <w:lang w:val="en-GB"/>
        </w:rPr>
      </w:r>
      <w:r>
        <w:br w:type="page"/>
      </w:r>
    </w:p>
    <w:p>
      <w:pPr>
        <w:pStyle w:val="AWGBodyText"/>
        <w:rPr>
          <w:rFonts w:ascii="DejaVu Serif" w:hAnsi="DejaVu Serif"/>
          <w:lang w:val="en-GB"/>
        </w:rPr>
      </w:pPr>
      <w:r>
        <w:rPr>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17"/>
        <w:gridCol w:w="6122"/>
      </w:tblGrid>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22" w:type="dxa"/>
            <w:tcBorders>
              <w:top w:val="nil"/>
              <w:left w:val="nil"/>
              <w:bottom w:val="nil"/>
              <w:right w:val="nil"/>
            </w:tcBorders>
            <w:shd w:fill="auto" w:val="clear"/>
          </w:tcPr>
          <w:p>
            <w:pPr>
              <w:pStyle w:val="1part"/>
              <w:spacing w:lineRule="auto" w:line="240" w:before="0" w:after="0"/>
              <w:rPr>
                <w:rFonts w:ascii="DejaVu Serif" w:hAnsi="DejaVu Serif"/>
              </w:rPr>
            </w:pPr>
            <w:r>
              <w:rPr>
                <w:b/>
                <w:color w:val="000000"/>
                <w:lang w:val="en-US"/>
              </w:rPr>
              <w:t>${beneficiary.name}</w:t>
            </w:r>
            <w:r>
              <w:rPr>
                <w:color w:val="000000"/>
                <w:lang w:val="en-US"/>
              </w:rPr>
              <w:t xml:space="preserve">, </w:t>
            </w:r>
            <w:r>
              <w:rPr>
                <w:b w:val="false"/>
                <w:bCs w:val="false"/>
                <w:color w:val="000000"/>
                <w:lang w:val="en-US"/>
              </w:rPr>
              <w:t>as Beneficiary</w:t>
            </w:r>
          </w:p>
        </w:tc>
      </w:tr>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122"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ind w:left="0" w:hanging="0"/>
        <w:rPr>
          <w:rFonts w:ascii="DejaVu Serif" w:hAnsi="DejaVu Serif"/>
        </w:rPr>
      </w:pPr>
      <w:bookmarkStart w:id="24" w:name="_Toc526435856"/>
      <w:r>
        <w:rPr/>
        <w:br/>
      </w:r>
      <w:bookmarkStart w:id="25" w:name="_Ref528695248"/>
      <w:bookmarkEnd w:id="24"/>
      <w:r>
        <w:rPr/>
        <w:t>Description of GATS Trust</w:t>
      </w:r>
      <w:bookmarkEnd w:id="25"/>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68"/>
        <w:gridCol w:w="945"/>
        <w:gridCol w:w="2132"/>
        <w:gridCol w:w="3398"/>
      </w:tblGrid>
      <w:tr>
        <w:trPr/>
        <w:tc>
          <w:tcPr>
            <w:tcW w:w="2568"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2"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 into GATS</w:t>
            </w:r>
          </w:p>
        </w:tc>
      </w:tr>
      <w:tr>
        <w:trPr/>
        <w:tc>
          <w:tcPr>
            <w:tcW w:w="2568"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rPr>
            </w:pPr>
            <w:r>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${trust.name}</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widowControl/>
        <w:numPr>
          <w:ilvl w:val="0"/>
          <w:numId w:val="2"/>
        </w:numPr>
        <w:bidi w:val="0"/>
        <w:spacing w:lineRule="auto" w:line="240" w:before="0" w:after="240"/>
        <w:ind w:left="0" w:right="0" w:hanging="0"/>
        <w:jc w:val="center"/>
        <w:rPr>
          <w:rFonts w:ascii="DejaVu Serif" w:hAnsi="DejaVu Serif"/>
        </w:rPr>
      </w:pPr>
      <w:r>
        <w:rPr/>
        <w:br/>
      </w:r>
      <w:bookmarkStart w:id="27" w:name="_Ref29981865"/>
      <w:r>
        <w:rPr/>
        <w:t>Party Details</w:t>
      </w:r>
      <w:bookmarkEnd w:id="27"/>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spacing w:lineRule="auto" w:line="240" w:before="0" w:after="0"/>
              <w:ind w:hanging="0"/>
              <w:jc w:val="left"/>
              <w:rPr>
                <w:rFonts w:ascii="DejaVu Serif" w:hAnsi="DejaVu Serif"/>
              </w:rPr>
            </w:pPr>
            <w:r>
              <w:rPr>
                <w:b/>
                <w:lang w:val="en-US"/>
              </w:rPr>
              <w:t>1</w:t>
            </w:r>
          </w:p>
        </w:tc>
        <w:tc>
          <w:tcPr>
            <w:tcW w:w="3390" w:type="dxa"/>
            <w:tcBorders/>
            <w:shd w:fill="auto" w:val="clear"/>
          </w:tcPr>
          <w:p>
            <w:pPr>
              <w:pStyle w:val="AWGBodyText"/>
              <w:spacing w:lineRule="auto" w:line="240" w:before="0" w:after="0"/>
              <w:jc w:val="left"/>
              <w:rPr>
                <w:rFonts w:ascii="DejaVu Serif" w:hAnsi="DejaVu Serif"/>
              </w:rPr>
            </w:pPr>
            <w:r>
              <w:rPr>
                <w:b/>
                <w:lang w:val="en-US"/>
              </w:rPr>
              <w:t>Secured Party</w:t>
            </w:r>
          </w:p>
        </w:tc>
        <w:tc>
          <w:tcPr>
            <w:tcW w:w="5238"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rPr>
      </w:pPr>
      <w:r>
        <w:rPr/>
      </w:r>
      <w:r>
        <w:br w:type="page"/>
      </w:r>
    </w:p>
    <w:p>
      <w:pPr>
        <w:pStyle w:val="Normal"/>
        <w:rPr>
          <w:rFonts w:ascii="DejaVu Serif" w:hAnsi="DejaVu Serif"/>
        </w:rPr>
      </w:pPr>
      <w:r>
        <w:rPr/>
      </w:r>
    </w:p>
    <w:tbl>
      <w:tblPr>
        <w:tblStyle w:val="TableGrid"/>
        <w:tblW w:w="9000"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numPr>
                <w:ilvl w:val="0"/>
                <w:numId w:val="0"/>
              </w:numPr>
              <w:spacing w:lineRule="auto" w:line="240" w:before="0" w:after="0"/>
              <w:ind w:left="0" w:hanging="0"/>
              <w:jc w:val="center"/>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rPr>
      </w:pPr>
      <w:r>
        <w:rPr/>
      </w:r>
      <w:r>
        <w:br w:type="page"/>
      </w:r>
    </w:p>
    <w:p>
      <w:pPr>
        <w:pStyle w:val="Normal"/>
        <w:rPr>
          <w:rFonts w:ascii="DejaVu Serif" w:hAnsi="DejaVu Serif"/>
        </w:rPr>
      </w:pPr>
      <w:r>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b/>
                <w:lang w:val="en-US"/>
              </w:rPr>
              <w:t>3</w:t>
            </w:r>
          </w:p>
        </w:tc>
        <w:tc>
          <w:tcPr>
            <w:tcW w:w="3390" w:type="dxa"/>
            <w:tcBorders/>
            <w:shd w:fill="auto" w:val="clear"/>
          </w:tcPr>
          <w:p>
            <w:pPr>
              <w:pStyle w:val="AWGBodyText"/>
              <w:spacing w:lineRule="auto" w:line="240" w:before="0" w:after="0"/>
              <w:jc w:val="left"/>
              <w:rPr/>
            </w:pPr>
            <w:r>
              <w:rPr>
                <w:b/>
                <w:lang w:val="en-US"/>
              </w:rPr>
              <w:t>Trustee</w:t>
            </w:r>
          </w:p>
        </w:tc>
        <w:tc>
          <w:tcPr>
            <w:tcW w:w="5238"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ind w:left="0" w:hanging="0"/>
        <w:rPr>
          <w:rFonts w:ascii="DejaVu Serif" w:hAnsi="DejaVu Serif"/>
        </w:rPr>
      </w:pPr>
      <w:r>
        <w:rPr/>
        <w:br/>
      </w:r>
      <w:bookmarkStart w:id="29" w:name="_Ref534733683"/>
      <w:bookmarkStart w:id="30" w:name="_Ref528849090"/>
      <w:r>
        <w:rPr/>
        <w:t xml:space="preserve">Description of GATS </w:t>
      </w:r>
      <w:bookmarkEnd w:id="30"/>
      <w:r>
        <w:rPr/>
        <w:t>Security Documents</w:t>
      </w:r>
      <w:bookmarkEnd w:id="29"/>
    </w:p>
    <w:p>
      <w:pPr>
        <w:pStyle w:val="AWGBodyText"/>
        <w:numPr>
          <w:ilvl w:val="0"/>
          <w:numId w:val="0"/>
        </w:numPr>
        <w:ind w:left="0" w:hanging="0"/>
        <w:rPr>
          <w:rFonts w:ascii="DejaVu Serif" w:hAnsi="DejaVu Serif"/>
        </w:rPr>
      </w:pPr>
      <w:r>
        <w:rPr/>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4"/>
        <w:gridCol w:w="2416"/>
        <w:gridCol w:w="6254"/>
      </w:tblGrid>
      <w:tr>
        <w:trPr/>
        <w:tc>
          <w:tcPr>
            <w:tcW w:w="374" w:type="dxa"/>
            <w:tcBorders>
              <w:bottom w:val="nil"/>
              <w:right w:val="nil"/>
            </w:tcBorders>
            <w:shd w:fill="auto" w:val="clear"/>
          </w:tcPr>
          <w:p>
            <w:pPr>
              <w:pStyle w:val="AWGBodyText"/>
              <w:numPr>
                <w:ilvl w:val="0"/>
                <w:numId w:val="5"/>
              </w:numPr>
              <w:spacing w:lineRule="auto" w:line="240" w:before="0" w:after="0"/>
              <w:ind w:left="720" w:hanging="0"/>
              <w:jc w:val="left"/>
              <w:rPr>
                <w:rFonts w:ascii="DejaVu Serif" w:hAnsi="DejaVu Serif"/>
                <w:sz w:val="18"/>
                <w:szCs w:val="18"/>
                <w:lang w:val="en-US"/>
              </w:rPr>
            </w:pPr>
            <w:commentRangeStart w:id="4"/>
            <w:r>
              <w:rPr>
                <w:sz w:val="18"/>
                <w:szCs w:val="18"/>
                <w:lang w:val="en-US"/>
              </w:rPr>
            </w:r>
          </w:p>
        </w:tc>
        <w:tc>
          <w:tcPr>
            <w:tcW w:w="2416" w:type="dxa"/>
            <w:tcBorders>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Name:</w:t>
            </w:r>
          </w:p>
        </w:tc>
        <w:tc>
          <w:tcPr>
            <w:tcW w:w="6254" w:type="dxa"/>
            <w:tcBorders>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GATS Transaction ID:</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Trust Branch:</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Singapore (SG)</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GATS Form Version:</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Effective Time:</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416" w:type="dxa"/>
            <w:tcBorders>
              <w:top w:val="nil"/>
              <w:right w:val="nil"/>
            </w:tcBorders>
            <w:shd w:fill="auto" w:val="clear"/>
          </w:tcPr>
          <w:p>
            <w:pPr>
              <w:pStyle w:val="AWGBodyText"/>
              <w:spacing w:lineRule="auto" w:line="240" w:before="0" w:after="0"/>
              <w:jc w:val="left"/>
              <w:rPr>
                <w:rFonts w:ascii="DejaVu Serif" w:hAnsi="DejaVu Serif"/>
              </w:rPr>
            </w:pPr>
            <w:r>
              <w:rPr>
                <w:sz w:val="18"/>
                <w:szCs w:val="18"/>
                <w:lang w:val="en-US"/>
              </w:rPr>
              <w:t>Parties:</w:t>
            </w:r>
          </w:p>
        </w:tc>
        <w:tc>
          <w:tcPr>
            <w:tcW w:w="6254"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4"/>
            <w:r>
              <w:commentReference w:id="4"/>
            </w:r>
            <w:r>
              <w:rPr/>
            </w:r>
          </w:p>
        </w:tc>
      </w:tr>
    </w:tbl>
    <w:p>
      <w:pPr>
        <w:pStyle w:val="Normal"/>
        <w:spacing w:before="0" w:after="120"/>
        <w:rPr/>
      </w:pPr>
      <w:r>
        <w:rPr/>
      </w:r>
    </w:p>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5-20T19:46:3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3-18T14:25:1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3-18T14:30:0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
          <w:r>
            <w:rPr>
              <w:sz w:val="18"/>
              <w:szCs w:val="18"/>
            </w:rPr>
            <w:t>GATS Form Version:</w:t>
          </w:r>
          <w:bookmarkEnd w:id="0"/>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720"/>
        <w:tab w:val="left" w:pos="2880" w:leader="none"/>
      </w:tabs>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3" w:name="__DdeLink__945_371514061012"/>
          <w:r>
            <w:rPr>
              <w:sz w:val="18"/>
              <w:szCs w:val="18"/>
            </w:rPr>
            <w:t>GATS Form Version:</w:t>
          </w:r>
          <w:bookmarkEnd w:id="23"/>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6" w:name="__DdeLink__945_371514061011121"/>
          <w:r>
            <w:rPr>
              <w:sz w:val="18"/>
              <w:szCs w:val="18"/>
            </w:rPr>
            <w:t>GATS Form Version:</w:t>
          </w:r>
          <w:bookmarkEnd w:id="26"/>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8" w:name="__DdeLink__945_37151406101112"/>
          <w:r>
            <w:rPr>
              <w:sz w:val="18"/>
              <w:szCs w:val="18"/>
            </w:rPr>
            <w:t>GATS Form Version:</w:t>
          </w:r>
          <w:bookmarkEnd w:id="28"/>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21"/>
          <w:r>
            <w:rPr>
              <w:sz w:val="18"/>
              <w:szCs w:val="18"/>
            </w:rPr>
            <w:t>GATS Form Version:</w:t>
          </w:r>
          <w:bookmarkEnd w:id="31"/>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-273050</wp:posOffset>
              </wp:positionV>
              <wp:extent cx="5753735" cy="1209675"/>
              <wp:effectExtent l="0" t="0" r="0" b="0"/>
              <wp:wrapNone/>
              <wp:docPr id="6" name="Shape1"/>
              <a:graphic xmlns:a="http://schemas.openxmlformats.org/drawingml/2006/main">
                <a:graphicData uri="http://schemas.microsoft.com/office/word/2010/wordprocessingShape">
                  <wps:wsp>
                    <wps:cNvSpPr/>
                    <wps:spPr>
                      <a:xfrm>
                        <a:off x="0" y="0"/>
                        <a:ext cx="575316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rFonts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1.5pt;width:452.95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rFonts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5954"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DejaVu Serif" w:hAnsi="DejaVu Serif" w:eastAsia="Calibri" w:cs="" w:cstheme="minorBidi" w:eastAsiaTheme="minorHAnsi"/>
      <w:color w:val="auto"/>
      <w:kern w:val="0"/>
      <w:sz w:val="18"/>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c8026c"/>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c8026c"/>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c8026c"/>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Normal"/>
    <w:qFormat/>
    <w:rsid w:val="00af4b0c"/>
    <w:pPr>
      <w:tabs>
        <w:tab w:val="clear" w:pos="720"/>
        <w:tab w:val="left" w:pos="1440" w:leader="none"/>
      </w:tabs>
      <w:spacing w:lineRule="auto" w:line="240" w:before="0" w:after="240"/>
      <w:ind w:left="1440" w:hanging="0"/>
      <w:jc w:val="both"/>
    </w:pPr>
    <w:rPr>
      <w:color w:val="000000" w:themeColor="text1"/>
      <w:lang w:val="en-GB"/>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c8026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c8026c"/>
    <w:pPr/>
    <w:rPr>
      <w:b/>
      <w:caps/>
    </w:rPr>
  </w:style>
  <w:style w:type="paragraph" w:styleId="AWGNumberedList22C" w:customStyle="1">
    <w:name w:val="AWG Numbered List 2 (2C)"/>
    <w:basedOn w:val="AWGBodyText12C"/>
    <w:next w:val="AWGBodyText12C"/>
    <w:qFormat/>
    <w:rsid w:val="00c8026c"/>
    <w:pPr/>
    <w:rPr/>
  </w:style>
  <w:style w:type="paragraph" w:styleId="AWGNumberedListAlt32C" w:customStyle="1">
    <w:name w:val="AWG Numbered List Alt 3 (2C)"/>
    <w:basedOn w:val="AWGNumberedList22C"/>
    <w:next w:val="AWGBodyText12C"/>
    <w:qFormat/>
    <w:rsid w:val="00c8026c"/>
    <w:pPr/>
    <w:rPr/>
  </w:style>
  <w:style w:type="paragraph" w:styleId="AWGNumberedList32C" w:customStyle="1">
    <w:name w:val="AWG Numbered List 3 (2C)"/>
    <w:basedOn w:val="Normal"/>
    <w:next w:val="Normal"/>
    <w:qFormat/>
    <w:rsid w:val="00c8026c"/>
    <w:pPr>
      <w:spacing w:lineRule="auto" w:line="240"/>
      <w:jc w:val="both"/>
    </w:pPr>
    <w:rPr>
      <w:sz w:val="18"/>
      <w:lang w:val="en-GB"/>
    </w:rPr>
  </w:style>
  <w:style w:type="paragraph" w:styleId="AWGNumberedList42C" w:customStyle="1">
    <w:name w:val="AWG Numbered List 4 (2C)"/>
    <w:basedOn w:val="Normal"/>
    <w:next w:val="Normal"/>
    <w:qFormat/>
    <w:rsid w:val="00c8026c"/>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c8026c"/>
    <w:pPr>
      <w:spacing w:lineRule="auto" w:line="240"/>
      <w:jc w:val="both"/>
    </w:pPr>
    <w:rPr>
      <w:sz w:val="18"/>
      <w:lang w:val="en-GB"/>
    </w:rPr>
  </w:style>
  <w:style w:type="paragraph" w:styleId="AWGNumberedListAlt42C" w:customStyle="1">
    <w:name w:val="AWG Numbered List Alt 4 (2C)"/>
    <w:basedOn w:val="AWGNumberedList32C"/>
    <w:next w:val="Normal"/>
    <w:qFormat/>
    <w:rsid w:val="00c8026c"/>
    <w:pPr/>
    <w:rPr/>
  </w:style>
  <w:style w:type="paragraph" w:styleId="AWGDef2C" w:customStyle="1">
    <w:name w:val="AWG Def (2C)"/>
    <w:basedOn w:val="AWGBodyText2C"/>
    <w:qFormat/>
    <w:rsid w:val="00c8026c"/>
    <w:pPr/>
    <w:rPr/>
  </w:style>
  <w:style w:type="paragraph" w:styleId="AWGDefPara2C" w:customStyle="1">
    <w:name w:val="AWG Def Para (2C)"/>
    <w:basedOn w:val="AWGBodyText12C"/>
    <w:qFormat/>
    <w:rsid w:val="00c8026c"/>
    <w:pPr/>
    <w:rPr/>
  </w:style>
  <w:style w:type="paragraph" w:styleId="AWGNumberedList52C" w:customStyle="1">
    <w:name w:val="AWG Numbered List 5 (2C)"/>
    <w:basedOn w:val="Normal"/>
    <w:qFormat/>
    <w:rsid w:val="00c8026c"/>
    <w:pPr>
      <w:spacing w:lineRule="auto" w:line="240"/>
      <w:jc w:val="both"/>
    </w:pPr>
    <w:rPr>
      <w:sz w:val="18"/>
      <w:lang w:val="en-GB"/>
    </w:rPr>
  </w:style>
  <w:style w:type="paragraph" w:styleId="AWGNumberedListAlt52C" w:customStyle="1">
    <w:name w:val="AWG Numbered List Alt 5 (2C)"/>
    <w:basedOn w:val="Normal"/>
    <w:qFormat/>
    <w:rsid w:val="00c8026c"/>
    <w:pPr>
      <w:spacing w:lineRule="auto" w:line="240"/>
      <w:jc w:val="both"/>
    </w:pPr>
    <w:rPr>
      <w:sz w:val="18"/>
      <w:lang w:val="en-GB"/>
    </w:rPr>
  </w:style>
  <w:style w:type="paragraph" w:styleId="MTNum" w:customStyle="1">
    <w:name w:val="MT Num"/>
    <w:basedOn w:val="Normal"/>
    <w:qFormat/>
    <w:rsid w:val="002a741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2a7419"/>
    <w:pPr>
      <w:spacing w:before="0" w:after="150"/>
    </w:pPr>
    <w:rPr/>
  </w:style>
  <w:style w:type="paragraph" w:styleId="MTNum2" w:customStyle="1">
    <w:name w:val="MT Num2"/>
    <w:basedOn w:val="MTNum1"/>
    <w:qFormat/>
    <w:rsid w:val="002a7419"/>
    <w:pPr/>
    <w:rPr/>
  </w:style>
  <w:style w:type="paragraph" w:styleId="MTNum3" w:customStyle="1">
    <w:name w:val="MT Num3"/>
    <w:basedOn w:val="MTNum2"/>
    <w:qFormat/>
    <w:rsid w:val="002a7419"/>
    <w:pPr/>
    <w:rPr/>
  </w:style>
  <w:style w:type="paragraph" w:styleId="MTNum4" w:customStyle="1">
    <w:name w:val="MT Num4"/>
    <w:basedOn w:val="MTNum3"/>
    <w:qFormat/>
    <w:rsid w:val="002a7419"/>
    <w:pPr/>
    <w:rPr/>
  </w:style>
  <w:style w:type="paragraph" w:styleId="MTNum5" w:customStyle="1">
    <w:name w:val="MT Num5"/>
    <w:basedOn w:val="MTNum4"/>
    <w:qFormat/>
    <w:rsid w:val="002a7419"/>
    <w:pPr/>
    <w:rPr/>
  </w:style>
  <w:style w:type="paragraph" w:styleId="MTNum6" w:customStyle="1">
    <w:name w:val="MT Num6"/>
    <w:basedOn w:val="MTNum5"/>
    <w:qFormat/>
    <w:rsid w:val="002a7419"/>
    <w:pPr/>
    <w:rPr/>
  </w:style>
  <w:style w:type="paragraph" w:styleId="MTH1" w:customStyle="1">
    <w:name w:val="MT H1"/>
    <w:basedOn w:val="Normal"/>
    <w:next w:val="MTH2"/>
    <w:autoRedefine/>
    <w:qFormat/>
    <w:rsid w:val="004d1237"/>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4d1237"/>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4d1237"/>
    <w:pPr>
      <w:keepNext w:val="false"/>
      <w:spacing w:before="90" w:after="150"/>
      <w:jc w:val="both"/>
    </w:pPr>
    <w:rPr>
      <w:b w:val="false"/>
    </w:rPr>
  </w:style>
  <w:style w:type="paragraph" w:styleId="MTH4" w:customStyle="1">
    <w:name w:val="MT H4"/>
    <w:basedOn w:val="MTH3"/>
    <w:qFormat/>
    <w:rsid w:val="004d1237"/>
    <w:pPr>
      <w:spacing w:before="0" w:after="150"/>
    </w:pPr>
    <w:rPr/>
  </w:style>
  <w:style w:type="paragraph" w:styleId="MTH5" w:customStyle="1">
    <w:name w:val="MT H5"/>
    <w:basedOn w:val="MTH4"/>
    <w:qFormat/>
    <w:rsid w:val="004d1237"/>
    <w:pPr/>
    <w:rPr/>
  </w:style>
  <w:style w:type="paragraph" w:styleId="MTH6" w:customStyle="1">
    <w:name w:val="MT H6"/>
    <w:basedOn w:val="MTH5"/>
    <w:qFormat/>
    <w:rsid w:val="004d1237"/>
    <w:pPr/>
    <w:rPr/>
  </w:style>
  <w:style w:type="paragraph" w:styleId="MTH7" w:customStyle="1">
    <w:name w:val="MT H7"/>
    <w:basedOn w:val="Normal"/>
    <w:next w:val="Normal"/>
    <w:qFormat/>
    <w:rsid w:val="004d1237"/>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4d1237"/>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4d1237"/>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AWGBodyText22C" w:customStyle="1">
    <w:name w:val="AWG Body Text 2 (2C)"/>
    <w:basedOn w:val="AWGBodyText"/>
    <w:qFormat/>
    <w:rsid w:val="000805ae"/>
    <w:pPr>
      <w:spacing w:before="0" w:after="120"/>
      <w:ind w:left="907" w:hanging="0"/>
    </w:pPr>
    <w:rPr/>
  </w:style>
  <w:style w:type="paragraph" w:styleId="Revision">
    <w:name w:val="Revision"/>
    <w:uiPriority w:val="99"/>
    <w:semiHidden/>
    <w:qFormat/>
    <w:rsid w:val="00365e0c"/>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
    <w:name w:val="1par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comments" Target="comment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5BCA-C3CC-425D-97C5-A384D922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LibreOffice/6.4.3.2$MacOSX_X86_64 LibreOffice_project/747b5d0ebf89f41c860ec2a39efd7cb15b54f2d8</Application>
  <Pages>10</Pages>
  <Words>1429</Words>
  <Characters>8103</Characters>
  <CharactersWithSpaces>9353</CharactersWithSpaces>
  <Paragraphs>169</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2020-02-27T12:32:00Z</dcterms:created>
  <dc:creator>Pearson, Dominic</dc:creator>
  <dc:description/>
  <dc:language>en-US</dc:language>
  <cp:lastModifiedBy/>
  <cp:lastPrinted>2018-03-23T14:20:00Z</cp:lastPrinted>
  <dcterms:modified xsi:type="dcterms:W3CDTF">2020-10-02T15:48:56Z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#4850-3750-8218v5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