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456"/>
        <w:gridCol w:w="5587"/>
      </w:tblGrid>
      <w:tr>
        <w:trPr/>
        <w:tc>
          <w:tcPr>
            <w:tcW w:w="9043" w:type="dxa"/>
            <w:gridSpan w:val="2"/>
            <w:tcBorders>
              <w:top w:val="nil"/>
              <w:left w:val="nil"/>
              <w:bottom w:val="nil"/>
              <w:right w:val="nil"/>
            </w:tcBorders>
            <w:shd w:fill="auto" w:val="clear"/>
          </w:tcPr>
          <w:p>
            <w:pPr>
              <w:pStyle w:val="AWGBodyText"/>
              <w:spacing w:lineRule="auto" w:line="240" w:before="0" w:after="0"/>
              <w:rPr/>
            </w:pPr>
            <w:r>
              <w:rPr/>
            </w:r>
          </w:p>
          <w:p>
            <w:pPr>
              <w:pStyle w:val="AWGBodyText"/>
              <w:spacing w:lineRule="auto" w:line="240" w:before="0" w:after="0"/>
              <w:rPr/>
            </w:pPr>
            <w:r>
              <w:rPr/>
            </w:r>
          </w:p>
          <w:p>
            <w:pPr>
              <w:pStyle w:val="AWGBodyText"/>
              <w:spacing w:lineRule="auto" w:line="240" w:before="0" w:after="0"/>
              <w:rPr>
                <w:rFonts w:ascii="DejaVu Serif" w:hAnsi="DejaVu Serif"/>
              </w:rPr>
            </w:pPr>
            <w:r>
              <w:rPr/>
              <w:drawing>
                <wp:inline distT="0" distB="0" distL="0" distR="0">
                  <wp:extent cx="5640070" cy="2616835"/>
                  <wp:effectExtent l="0" t="0" r="0" b="0"/>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2"/>
                          <a:stretch>
                            <a:fillRect/>
                          </a:stretch>
                        </pic:blipFill>
                        <pic:spPr bwMode="auto">
                          <a:xfrm>
                            <a:off x="0" y="0"/>
                            <a:ext cx="5640070" cy="2616835"/>
                          </a:xfrm>
                          <a:prstGeom prst="rect">
                            <a:avLst/>
                          </a:prstGeom>
                        </pic:spPr>
                      </pic:pic>
                    </a:graphicData>
                  </a:graphic>
                </wp:inline>
              </w:drawing>
              <mc:AlternateContent>
                <mc:Choice Requires="wps">
                  <w:drawing>
                    <wp:anchor behindDoc="0" distT="0" distB="0" distL="0" distR="0" simplePos="0" locked="0" layoutInCell="1" allowOverlap="1" relativeHeight="2" wp14:anchorId="244308B8">
                      <wp:simplePos x="0" y="0"/>
                      <wp:positionH relativeFrom="column">
                        <wp:posOffset>5392420</wp:posOffset>
                      </wp:positionH>
                      <wp:positionV relativeFrom="paragraph">
                        <wp:posOffset>637540</wp:posOffset>
                      </wp:positionV>
                      <wp:extent cx="252095" cy="175895"/>
                      <wp:effectExtent l="0" t="0" r="9525" b="9525"/>
                      <wp:wrapNone/>
                      <wp:docPr id="1" name="Text Box 3"/>
                      <a:graphic xmlns:a="http://schemas.openxmlformats.org/drawingml/2006/main">
                        <a:graphicData uri="http://schemas.microsoft.com/office/word/2010/wordprocessingShape">
                          <wps:wsp>
                            <wps:cNvSpPr/>
                            <wps:spPr>
                              <a:xfrm>
                                <a:off x="0" y="0"/>
                                <a:ext cx="251640" cy="17532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424.6pt;margin-top:50.2pt;width:19.75pt;height:13.75pt" wp14:anchorId="244308B8">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rPr>
            </w:pPr>
            <w:r>
              <w:rPr>
                <w:b/>
                <w:color w:val="000000" w:themeColor="text1"/>
                <w:sz w:val="32"/>
                <w:szCs w:val="32"/>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Security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GB"/>
              </w:rPr>
              <w:t>${trust.uin}</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color w:val="000000"/>
              </w:rPr>
              <w:t>GATS Trust ${trust.name}</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456"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587"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sectPr>
          <w:headerReference w:type="default" r:id="rId3"/>
          <w:footerReference w:type="default" r:id="rId4"/>
          <w:type w:val="nextPage"/>
          <w:pgSz w:w="11906" w:h="16838"/>
          <w:pgMar w:left="1440" w:right="1440" w:header="720" w:top="1440" w:footer="493" w:bottom="1440" w:gutter="0"/>
          <w:pgNumType w:start="1" w:fmt="lowerRoman"/>
          <w:formProt w:val="false"/>
          <w:textDirection w:val="lrTb"/>
          <w:docGrid w:type="default" w:linePitch="408" w:charSpace="8192"/>
        </w:sectPr>
        <w:pStyle w:val="AWGBodyText"/>
        <w:jc w:val="center"/>
        <w:rPr>
          <w:b/>
          <w:b/>
        </w:rPr>
      </w:pPr>
      <w:r>
        <w:rPr>
          <w:b/>
        </w:rPr>
        <w:t>*</w:t>
        <w:tab/>
        <w:t>*</w:t>
        <w:tab/>
        <w:t>*</w:t>
      </w:r>
    </w:p>
    <w:p>
      <w:pPr>
        <w:pStyle w:val="AWGBodyText"/>
        <w:rPr/>
      </w:pPr>
      <w:r>
        <w:rPr>
          <w:b/>
        </w:rPr>
        <w:t xml:space="preserve">THIS GATS SECURITY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BENEFICIARY;</w:t>
      </w:r>
    </w:p>
    <w:p>
      <w:pPr>
        <w:pStyle w:val="AWGParties"/>
        <w:numPr>
          <w:ilvl w:val="0"/>
          <w:numId w:val="1"/>
        </w:numPr>
        <w:rPr/>
      </w:pPr>
      <w:r>
        <w:rPr/>
        <w:t>the SECURED PARTY from time to time, acting in the capacity as indicated in Schedule 2 (</w:t>
      </w:r>
      <w:r>
        <w:rPr>
          <w:i/>
        </w:rPr>
        <w:t>Party Details</w:t>
      </w:r>
      <w:r>
        <w:rPr/>
        <w:t>) as amended from time to time; and</w:t>
      </w:r>
    </w:p>
    <w:p>
      <w:pPr>
        <w:pStyle w:val="AWGParties"/>
        <w:numPr>
          <w:ilvl w:val="0"/>
          <w:numId w:val="1"/>
        </w:numPr>
        <w:rPr>
          <w:rFonts w:ascii="DejaVu Serif" w:hAnsi="DejaVu Serif"/>
        </w:rPr>
      </w:pPr>
      <w:r>
        <w:rPr/>
        <w:t>the TRUSTEE.</w:t>
      </w:r>
    </w:p>
    <w:p>
      <w:pPr>
        <w:pStyle w:val="AWGParties"/>
        <w:numPr>
          <w:ilvl w:val="0"/>
          <w:numId w:val="0"/>
        </w:numPr>
        <w:ind w:left="720" w:hanging="720"/>
        <w:rPr>
          <w:rFonts w:ascii="DejaVu Serif" w:hAnsi="DejaVu Serif"/>
        </w:rPr>
      </w:pPr>
      <w:r>
        <w:rPr>
          <w:b/>
        </w:rPr>
        <w:t>IT IS AGREED AS FOLLOWS</w:t>
      </w:r>
      <w:r>
        <w:rPr/>
        <w:t>:</w:t>
      </w:r>
    </w:p>
    <w:p>
      <w:pPr>
        <w:sectPr>
          <w:headerReference w:type="default" r:id="rId5"/>
          <w:footerReference w:type="default" r:id="rId6"/>
          <w:type w:val="nextPage"/>
          <w:pgSz w:w="11906" w:h="16838"/>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4"/>
        </w:numPr>
        <w:rPr>
          <w:rFonts w:ascii="DejaVu Serif" w:hAnsi="DejaVu Serif"/>
        </w:rPr>
      </w:pPr>
      <w:bookmarkStart w:id="2" w:name="_Toc525847168"/>
      <w:r>
        <w:rPr>
          <w:rFonts w:ascii="DejaVu Serif" w:hAnsi="DejaVu Serif"/>
        </w:rPr>
        <w:t>Definition</w:t>
      </w:r>
      <w:bookmarkEnd w:id="2"/>
      <w:r>
        <w:rPr>
          <w:rFonts w:ascii="DejaVu Serif" w:hAnsi="DejaVu Serif"/>
        </w:rPr>
        <w:t>s</w:t>
      </w:r>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Master Terms. In this Instrument, unless the contrary intention appears:</w:t>
      </w:r>
    </w:p>
    <w:p>
      <w:pPr>
        <w:pStyle w:val="AWGDef2C"/>
        <w:numPr>
          <w:ilvl w:val="0"/>
          <w:numId w:val="3"/>
        </w:numPr>
        <w:rPr/>
      </w:pPr>
      <w:r>
        <w:rPr>
          <w:rFonts w:ascii="DejaVu Serif" w:hAnsi="DejaVu Serif"/>
          <w:b/>
        </w:rPr>
        <w:t xml:space="preserve">Beneficiary </w:t>
      </w:r>
      <w:r>
        <w:rPr>
          <w:rFonts w:ascii="DejaVu Serif" w:hAnsi="DejaVu Serif"/>
        </w:rPr>
        <w:t xml:space="preserve">means the person identified as the ‘Beneficiary’ in </w:t>
      </w:r>
      <w:bookmarkStart w:id="3" w:name="__DdeLink__1009_3053493539"/>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Collateral</w:t>
      </w:r>
      <w:r>
        <w:rPr>
          <w:rFonts w:ascii="DejaVu Serif" w:hAnsi="DejaVu Serif"/>
        </w:rPr>
        <w:t xml:space="preserve"> means, collectively, all of the following property now owned or at any time hereafter acquired by the Beneficiary or in which the Beneficiary now has or at any time in the future may acquire any right, title or interest:</w:t>
      </w:r>
    </w:p>
    <w:p>
      <w:pPr>
        <w:pStyle w:val="AWGDefPara2C"/>
        <w:numPr>
          <w:ilvl w:val="1"/>
          <w:numId w:val="3"/>
        </w:numPr>
        <w:rPr>
          <w:rFonts w:ascii="DejaVu Serif" w:hAnsi="DejaVu Serif"/>
        </w:rPr>
      </w:pPr>
      <w:r>
        <w:rPr>
          <w:rFonts w:ascii="DejaVu Serif" w:hAnsi="DejaVu Serif"/>
        </w:rPr>
        <w:t>the Pledged Beneficial Interest;</w:t>
      </w:r>
    </w:p>
    <w:p>
      <w:pPr>
        <w:pStyle w:val="AWGDefPara2C"/>
        <w:numPr>
          <w:ilvl w:val="1"/>
          <w:numId w:val="3"/>
        </w:numPr>
        <w:rPr>
          <w:rFonts w:ascii="DejaVu Serif" w:hAnsi="DejaVu Serif"/>
        </w:rPr>
      </w:pPr>
      <w:r>
        <w:rPr>
          <w:rFonts w:ascii="DejaVu Serif" w:hAnsi="DejaVu Serif"/>
        </w:rPr>
        <w:t>the Beneficiary’s Rights;</w:t>
      </w:r>
    </w:p>
    <w:p>
      <w:pPr>
        <w:pStyle w:val="AWGDefPara2C"/>
        <w:numPr>
          <w:ilvl w:val="1"/>
          <w:numId w:val="3"/>
        </w:numPr>
        <w:rPr>
          <w:rFonts w:ascii="DejaVu Serif" w:hAnsi="DejaVu Serif"/>
        </w:rPr>
      </w:pPr>
      <w:r>
        <w:rPr>
          <w:rFonts w:ascii="DejaVu Serif" w:hAnsi="DejaVu Serif"/>
        </w:rPr>
        <w:t>all interest, cash, instruments and other property from time to time received, receivable or otherwise distributed in respect of or in exchange for any of or all the Pledged Beneficial Interest;</w:t>
      </w:r>
    </w:p>
    <w:p>
      <w:pPr>
        <w:pStyle w:val="AWGDefPara2C"/>
        <w:numPr>
          <w:ilvl w:val="1"/>
          <w:numId w:val="3"/>
        </w:numPr>
        <w:rPr>
          <w:rFonts w:ascii="DejaVu Serif" w:hAnsi="DejaVu Serif"/>
        </w:rPr>
      </w:pPr>
      <w:r>
        <w:rPr>
          <w:rFonts w:ascii="DejaVu Serif" w:hAnsi="DejaVu Serif"/>
        </w:rPr>
        <w:t>all certificates or other instruments or documents representing any of the foregoing; and</w:t>
      </w:r>
    </w:p>
    <w:p>
      <w:pPr>
        <w:pStyle w:val="AWGDefPara2C"/>
        <w:numPr>
          <w:ilvl w:val="1"/>
          <w:numId w:val="3"/>
        </w:numPr>
        <w:rPr>
          <w:rFonts w:ascii="DejaVu Serif" w:hAnsi="DejaVu Serif"/>
        </w:rPr>
      </w:pPr>
      <w:r>
        <w:rPr>
          <w:rFonts w:ascii="DejaVu Serif" w:hAnsi="DejaVu Serif"/>
        </w:rPr>
        <w:t>all proceeds and products of any of the foregoing and any property of any character whatsoever into which any of the foregoing may be converted.</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date and time at which this Instrument is executed and delivered, as described on the cover page of this Instrument.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GATS Trust Instrument </w:t>
      </w:r>
      <w:r>
        <w:rPr>
          <w:rFonts w:ascii="DejaVu Serif" w:hAnsi="DejaVu Serif"/>
        </w:rPr>
        <w:t xml:space="preserve">means the GATS Trust Instrument relating to the GATS Trust between </w:t>
      </w:r>
      <w:bookmarkStart w:id="4" w:name="_Hlk25595483"/>
      <w:r>
        <w:rPr>
          <w:rFonts w:ascii="DejaVu Serif" w:hAnsi="DejaVu Serif"/>
        </w:rPr>
        <w:t>the Beneficiary and the Trustee</w:t>
      </w:r>
      <w:bookmarkEnd w:id="4"/>
      <w:r>
        <w:rPr>
          <w:rFonts w:ascii="DejaVu Serif" w:hAnsi="DejaVu Serif"/>
        </w:rPr>
        <w:t>.</w:t>
      </w:r>
    </w:p>
    <w:p>
      <w:pPr>
        <w:pStyle w:val="AWGDef2C"/>
        <w:numPr>
          <w:ilvl w:val="0"/>
          <w:numId w:val="3"/>
        </w:numPr>
        <w:rPr>
          <w:rFonts w:ascii="DejaVu Serif" w:hAnsi="DejaVu Serif"/>
        </w:rPr>
      </w:pPr>
      <w:r>
        <w:rPr>
          <w:rFonts w:ascii="DejaVu Serif" w:hAnsi="DejaVu Serif"/>
          <w:b/>
        </w:rPr>
        <w:t>Master Terms</w:t>
      </w:r>
      <w:r>
        <w:rPr>
          <w:rFonts w:ascii="DejaVu Serif" w:hAnsi="DejaVu Serif"/>
        </w:rPr>
        <w:t xml:space="preserve"> means the Security Instrument Master Terms as in effect at the Effective Time and applicable to the Singapore Trust Branch and marked with the same ‘GATS Transaction ID’ as this Instrument, and which can be accessed and authenticated on the GATS Platform together with this Instrument.</w:t>
      </w:r>
    </w:p>
    <w:p>
      <w:pPr>
        <w:pStyle w:val="AWGDef2C"/>
        <w:numPr>
          <w:ilvl w:val="0"/>
          <w:numId w:val="3"/>
        </w:numPr>
        <w:rPr/>
      </w:pPr>
      <w:r>
        <w:rPr>
          <w:rFonts w:ascii="DejaVu Serif" w:hAnsi="DejaVu Serif"/>
          <w:b/>
        </w:rPr>
        <w:t xml:space="preserve">Original Secured Party </w:t>
      </w:r>
      <w:r>
        <w:rPr>
          <w:rFonts w:ascii="DejaVu Serif" w:hAnsi="DejaVu Serif"/>
        </w:rPr>
        <w:t>means the person identified as the Original Secured Party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Pledged Beneficial Interest</w:t>
      </w:r>
      <w:r>
        <w:rPr>
          <w:rFonts w:ascii="DejaVu Serif" w:hAnsi="DejaVu Serif"/>
        </w:rPr>
        <w:t xml:space="preserve"> means all of the Beneficiary’s right, title and interest in and to the Trust Estate from time to time.</w:t>
      </w:r>
    </w:p>
    <w:p>
      <w:pPr>
        <w:pStyle w:val="AWGDef2C"/>
        <w:numPr>
          <w:ilvl w:val="0"/>
          <w:numId w:val="3"/>
        </w:numPr>
        <w:rPr/>
      </w:pPr>
      <w:r>
        <w:rPr>
          <w:rFonts w:ascii="DejaVu Serif" w:hAnsi="DejaVu Serif"/>
          <w:b/>
        </w:rPr>
        <w:t>Principal Borrower Party</w:t>
      </w:r>
      <w:r>
        <w:rPr>
          <w:rFonts w:ascii="DejaVu Serif" w:hAnsi="DejaVu Serif"/>
        </w:rPr>
        <w:t xml:space="preserve"> means the person identified as the ‘Principal Borrower Party’ in Table 1 of Schedule 3 (</w:t>
      </w:r>
      <w:r>
        <w:rPr>
          <w:rFonts w:ascii="DejaVu Serif" w:hAnsi="DejaVu Serif"/>
          <w:i/>
        </w:rPr>
        <w:t>Specific Information</w:t>
      </w:r>
      <w:r>
        <w:rPr>
          <w:rFonts w:ascii="DejaVu Serif" w:hAnsi="DejaVu Serif"/>
        </w:rPr>
        <w:t>) in the description of the Principal Finance Document.</w:t>
      </w:r>
    </w:p>
    <w:p>
      <w:pPr>
        <w:pStyle w:val="AWGDef2C"/>
        <w:numPr>
          <w:ilvl w:val="0"/>
          <w:numId w:val="3"/>
        </w:numPr>
        <w:rPr/>
      </w:pPr>
      <w:r>
        <w:rPr>
          <w:rFonts w:ascii="DejaVu Serif" w:hAnsi="DejaVu Serif"/>
          <w:b/>
        </w:rPr>
        <w:t>Principal Finance Document</w:t>
      </w:r>
      <w:r>
        <w:rPr>
          <w:rFonts w:ascii="DejaVu Serif" w:hAnsi="DejaVu Serif"/>
        </w:rPr>
        <w:t xml:space="preserve"> means the finance document described in Table 1 of Schedule 3 (</w:t>
      </w:r>
      <w:r>
        <w:rPr>
          <w:rFonts w:ascii="DejaVu Serif" w:hAnsi="DejaVu Serif"/>
          <w:i/>
        </w:rPr>
        <w:t>Specific Information</w:t>
      </w:r>
      <w:r>
        <w:rPr>
          <w:rFonts w:ascii="DejaVu Serif" w:hAnsi="DejaVu Serif"/>
        </w:rPr>
        <w:t>) as the ‘Principal Finance Document’.</w:t>
      </w:r>
    </w:p>
    <w:p>
      <w:pPr>
        <w:pStyle w:val="AWGDef2C"/>
        <w:numPr>
          <w:ilvl w:val="0"/>
          <w:numId w:val="3"/>
        </w:numPr>
        <w:rPr/>
      </w:pPr>
      <w:r>
        <w:rPr>
          <w:rFonts w:ascii="DejaVu Serif" w:hAnsi="DejaVu Serif"/>
          <w:b/>
        </w:rPr>
        <w:t>Principal Security Agreement</w:t>
      </w:r>
      <w:r>
        <w:rPr>
          <w:rFonts w:ascii="DejaVu Serif" w:hAnsi="DejaVu Serif"/>
        </w:rPr>
        <w:t xml:space="preserve"> means the security agreement, if any, described in Table 2 of Schedule 3 (</w:t>
      </w:r>
      <w:r>
        <w:rPr>
          <w:rFonts w:ascii="DejaVu Serif" w:hAnsi="DejaVu Serif"/>
          <w:i/>
        </w:rPr>
        <w:t>Specific Information</w:t>
      </w:r>
      <w:r>
        <w:rPr>
          <w:rFonts w:ascii="DejaVu Serif" w:hAnsi="DejaVu Serif"/>
        </w:rPr>
        <w:t>) as the ‘Principal Security Agreement’.</w:t>
      </w:r>
    </w:p>
    <w:p>
      <w:pPr>
        <w:pStyle w:val="AWGDef2C"/>
        <w:numPr>
          <w:ilvl w:val="0"/>
          <w:numId w:val="3"/>
        </w:numPr>
        <w:rPr/>
      </w:pPr>
      <w:r>
        <w:rPr>
          <w:rFonts w:ascii="DejaVu Serif" w:hAnsi="DejaVu Serif"/>
          <w:b/>
        </w:rPr>
        <w:t>Priority of Payments Provisions</w:t>
      </w:r>
      <w:r>
        <w:rPr>
          <w:rFonts w:ascii="DejaVu Serif" w:hAnsi="DejaVu Serif"/>
        </w:rPr>
        <w:t xml:space="preserve"> means the priority of payments provisions of the Principal Finance Document or the Principal Security Agreement described in Table 3 of Schedule 3 (</w:t>
      </w:r>
      <w:r>
        <w:rPr>
          <w:rFonts w:ascii="DejaVu Serif" w:hAnsi="DejaVu Serif"/>
          <w:i/>
        </w:rPr>
        <w:t>Specific Information</w:t>
      </w:r>
      <w:r>
        <w:rPr>
          <w:rFonts w:ascii="DejaVu Serif" w:hAnsi="DejaVu Serif"/>
        </w:rPr>
        <w:t>) as the ‘Priority of Payment Provisions’.</w:t>
      </w:r>
    </w:p>
    <w:p>
      <w:pPr>
        <w:pStyle w:val="AWGDef2C"/>
        <w:numPr>
          <w:ilvl w:val="0"/>
          <w:numId w:val="3"/>
        </w:numPr>
        <w:rPr>
          <w:rFonts w:ascii="DejaVu Serif" w:hAnsi="DejaVu Serif"/>
        </w:rPr>
      </w:pPr>
      <w:r>
        <w:rPr>
          <w:rFonts w:ascii="DejaVu Serif" w:hAnsi="DejaVu Serif"/>
          <w:b/>
        </w:rPr>
        <w:t>Secured Obligations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the ‘Secured Obligations’ or such other term having equivalent meaning as defined in the Principal Security Agreement (whether defined by cross reference to another document or otherwise); or</w:t>
      </w:r>
    </w:p>
    <w:p>
      <w:pPr>
        <w:pStyle w:val="AWGDefPara2C"/>
        <w:numPr>
          <w:ilvl w:val="1"/>
          <w:numId w:val="3"/>
        </w:numPr>
        <w:rPr>
          <w:rFonts w:ascii="DejaVu Serif" w:hAnsi="DejaVu Serif"/>
        </w:rPr>
      </w:pPr>
      <w:r>
        <w:rPr>
          <w:rFonts w:ascii="DejaVu Serif" w:hAnsi="DejaVu Serif"/>
        </w:rPr>
        <w:t>if such term is not so defined, all obligations that are expressed to be secured by the Security Interest granted pursuant to the Principal Security Agreement; or</w:t>
      </w:r>
    </w:p>
    <w:p>
      <w:pPr>
        <w:pStyle w:val="AWGDefPara2C"/>
        <w:numPr>
          <w:ilvl w:val="1"/>
          <w:numId w:val="3"/>
        </w:numPr>
        <w:rPr>
          <w:rFonts w:ascii="DejaVu Serif" w:hAnsi="DejaVu Serif"/>
        </w:rPr>
      </w:pPr>
      <w:r>
        <w:rPr>
          <w:rFonts w:ascii="DejaVu Serif" w:hAnsi="DejaVu Serif"/>
        </w:rPr>
        <w:t>if there is no Principal Security Agreement, all Liabilities of each Borrower Party to each Finance Party under the Finance Documents to which such Borrower Party is from time to time a party.</w:t>
      </w:r>
    </w:p>
    <w:p>
      <w:pPr>
        <w:pStyle w:val="AWGDef2C"/>
        <w:numPr>
          <w:ilvl w:val="0"/>
          <w:numId w:val="3"/>
        </w:numPr>
        <w:rPr>
          <w:rFonts w:ascii="DejaVu Serif" w:hAnsi="DejaVu Serif"/>
        </w:rPr>
      </w:pPr>
      <w:r>
        <w:rPr>
          <w:rFonts w:ascii="DejaVu Serif" w:hAnsi="DejaVu Serif"/>
          <w:b/>
        </w:rPr>
        <w:t>Secured Party</w:t>
      </w:r>
      <w:r>
        <w:rPr>
          <w:rFonts w:ascii="DejaVu Serif" w:hAnsi="DejaVu Serif"/>
        </w:rPr>
        <w:t xml:space="preserve"> means the Original Secured Party for so long as such person has not ceased to be the Secured Party in accordance with Section 7.3 of the Master Terms, or the person from time to time who has become the Secured Party after the date of this Instrument pursuant to and in accordance with Section 7.3 of the Master Terms, in each case, acting in the capacity as indicated in such Part of such Schedule.</w:t>
      </w:r>
    </w:p>
    <w:p>
      <w:pPr>
        <w:pStyle w:val="AWGDef2C"/>
        <w:numPr>
          <w:ilvl w:val="0"/>
          <w:numId w:val="3"/>
        </w:numPr>
        <w:rPr>
          <w:rFonts w:ascii="DejaVu Serif" w:hAnsi="DejaVu Serif"/>
        </w:rPr>
      </w:pPr>
      <w:r>
        <w:rPr>
          <w:rFonts w:ascii="DejaVu Serif" w:hAnsi="DejaVu Serif"/>
          <w:b/>
        </w:rPr>
        <w:t>Singapore Trust Branch</w:t>
      </w:r>
      <w:r>
        <w:rPr>
          <w:rFonts w:ascii="DejaVu Serif" w:hAnsi="DejaVu Serif"/>
        </w:rPr>
        <w:t xml:space="preserve"> </w:t>
      </w:r>
      <w:bookmarkStart w:id="5" w:name="_Hlk26972768"/>
      <w:r>
        <w:rPr>
          <w:rFonts w:ascii="DejaVu Serif" w:hAnsi="DejaVu Serif"/>
        </w:rPr>
        <w:t xml:space="preserve">means the GATS ‘trust branch’ corresponding to </w:t>
      </w:r>
      <w:bookmarkEnd w:id="5"/>
      <w:r>
        <w:rPr>
          <w:rFonts w:ascii="DejaVu Serif" w:hAnsi="DejaVu Serif"/>
        </w:rPr>
        <w:t>Singapore.</w:t>
      </w:r>
    </w:p>
    <w:p>
      <w:pPr>
        <w:pStyle w:val="AWGDef2C"/>
        <w:numPr>
          <w:ilvl w:val="0"/>
          <w:numId w:val="3"/>
        </w:numPr>
        <w:rPr/>
      </w:pPr>
      <w:r>
        <w:rPr>
          <w:rFonts w:ascii="DejaVu Serif" w:hAnsi="DejaVu Serif"/>
          <w:b/>
        </w:rPr>
        <w:t xml:space="preserve">Trustee </w:t>
      </w:r>
      <w:r>
        <w:rPr>
          <w:rFonts w:ascii="DejaVu Serif" w:hAnsi="DejaVu Serif"/>
        </w:rPr>
        <w:t>means the person identified as the ‘Trustee’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r>
        <w:rPr>
          <w:rFonts w:ascii="DejaVu Serif" w:hAnsi="DejaVu Serif"/>
        </w:rPr>
        <w:t>.</w:t>
      </w:r>
    </w:p>
    <w:p>
      <w:pPr>
        <w:pStyle w:val="AWGNumberedList12C"/>
        <w:numPr>
          <w:ilvl w:val="0"/>
          <w:numId w:val="4"/>
        </w:numPr>
        <w:rPr>
          <w:rFonts w:ascii="DejaVu Serif" w:hAnsi="DejaVu Serif"/>
        </w:rPr>
      </w:pPr>
      <w:bookmarkStart w:id="6" w:name="_Ref526872903"/>
      <w:bookmarkStart w:id="7" w:name="_Toc525847171"/>
      <w:bookmarkEnd w:id="7"/>
      <w:r>
        <w:rPr>
          <w:rFonts w:ascii="DejaVu Serif" w:hAnsi="DejaVu Serif"/>
        </w:rPr>
        <w:t>Incorporation of MASTER tERMS</w:t>
      </w:r>
      <w:bookmarkEnd w:id="6"/>
    </w:p>
    <w:p>
      <w:pPr>
        <w:pStyle w:val="AWGBodyText12C"/>
        <w:rPr>
          <w:rFonts w:ascii="DejaVu Serif" w:hAnsi="DejaVu Serif"/>
        </w:rPr>
      </w:pPr>
      <w:r>
        <w:rPr>
          <w:rFonts w:ascii="DejaVu Serif" w:hAnsi="DejaVu Serif"/>
        </w:rPr>
        <w:t>The Master Terms are incorporated into and apply to this Instrument in their entirety and without amendment or modification.</w:t>
      </w:r>
    </w:p>
    <w:p>
      <w:pPr>
        <w:pStyle w:val="AWGNumberedList12C"/>
        <w:numPr>
          <w:ilvl w:val="0"/>
          <w:numId w:val="4"/>
        </w:numPr>
        <w:rPr>
          <w:rFonts w:ascii="DejaVu Serif" w:hAnsi="DejaVu Serif"/>
        </w:rPr>
      </w:pPr>
      <w:bookmarkStart w:id="8" w:name="_Toc5258471711"/>
      <w:bookmarkEnd w:id="8"/>
      <w:r>
        <w:rPr>
          <w:rFonts w:ascii="DejaVu Serif" w:hAnsi="DejaVu Serif"/>
        </w:rPr>
        <w:t>ASSIGNMENT AND CHARGE; COvenant to Pay</w:t>
      </w:r>
    </w:p>
    <w:p>
      <w:pPr>
        <w:pStyle w:val="AWGNumberedList22C"/>
        <w:numPr>
          <w:ilvl w:val="1"/>
          <w:numId w:val="4"/>
        </w:numPr>
        <w:rPr>
          <w:rFonts w:ascii="DejaVu Serif" w:hAnsi="DejaVu Serif"/>
        </w:rPr>
      </w:pPr>
      <w:r>
        <w:rPr>
          <w:rFonts w:ascii="DejaVu Serif" w:hAnsi="DejaVu Serif"/>
        </w:rPr>
        <w:t>Grant of Security Interest</w:t>
      </w:r>
    </w:p>
    <w:p>
      <w:pPr>
        <w:pStyle w:val="AWGBodyText12C"/>
        <w:rPr>
          <w:rFonts w:ascii="DejaVu Serif" w:hAnsi="DejaVu Serif"/>
        </w:rPr>
      </w:pPr>
      <w:r>
        <w:rPr>
          <w:rFonts w:ascii="DejaVu Serif" w:hAnsi="DejaVu Serif"/>
        </w:rPr>
        <w:t>As continuing security for the payment, performance and discharge in full of all Secured Obligations:</w:t>
      </w:r>
    </w:p>
    <w:p>
      <w:pPr>
        <w:pStyle w:val="AWGNumberedListAlt32C"/>
        <w:numPr>
          <w:ilvl w:val="3"/>
          <w:numId w:val="4"/>
        </w:numPr>
        <w:rPr>
          <w:rFonts w:ascii="DejaVu Serif" w:hAnsi="DejaVu Serif"/>
        </w:rPr>
      </w:pPr>
      <w:r>
        <w:rPr>
          <w:rFonts w:ascii="DejaVu Serif" w:hAnsi="DejaVu Serif"/>
        </w:rPr>
        <w:t>the Beneficiary grants and agrees to grant a Security Interest in all its rights, title and interest in and to the Collateral in favour of the Secured Party, for its benefit and, if acting as agent or trustee on behalf of certain other secured parties, for the benefit of certain other secured parties defined or described in the Finance Documents;</w:t>
      </w:r>
    </w:p>
    <w:p>
      <w:pPr>
        <w:pStyle w:val="AWGNumberedListAlt32C"/>
        <w:numPr>
          <w:ilvl w:val="3"/>
          <w:numId w:val="4"/>
        </w:numPr>
        <w:rPr>
          <w:rFonts w:ascii="DejaVu Serif" w:hAnsi="DejaVu Serif"/>
        </w:rPr>
      </w:pPr>
      <w:bookmarkStart w:id="9" w:name="_Ref32394973"/>
      <w:r>
        <w:rPr>
          <w:rFonts w:ascii="DejaVu Serif" w:hAnsi="DejaVu Serif"/>
        </w:rPr>
        <w:t>the Beneficiary assigns and agrees to assign absolutely by way of security all of its rights, title and interests in the Collateral in favour of the Secured Party, for its benefit and if, acting as agent or trustee on behalf of certain other secured parties, for the benefit of certain other secured parties defined or described in the Finance Documents; and</w:t>
      </w:r>
      <w:bookmarkEnd w:id="9"/>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 xml:space="preserve">the Beneficiary charges and agrees to charge by way of first fixed charge (to the extent not validly and effectively assigned pursuant to Section 3.1(b)) all of its rights, title and interests in the Collateral in favour of the Secured Party, for its benefit and if, acting as agent or trustee on behalf of other secured parties, for the benefit of certain other secured parties defined or described in the Finance Documents. </w:t>
      </w:r>
    </w:p>
    <w:p>
      <w:pPr>
        <w:pStyle w:val="AWGNumberedList22C"/>
        <w:numPr>
          <w:ilvl w:val="1"/>
          <w:numId w:val="4"/>
        </w:numPr>
        <w:rPr>
          <w:rFonts w:ascii="DejaVu Serif" w:hAnsi="DejaVu Serif"/>
        </w:rPr>
      </w:pPr>
      <w:bookmarkStart w:id="10" w:name="_Ref528937139"/>
      <w:r>
        <w:rPr>
          <w:rFonts w:ascii="DejaVu Serif" w:hAnsi="DejaVu Serif"/>
        </w:rPr>
        <w:t>Covenant to Pay</w:t>
      </w:r>
      <w:bookmarkEnd w:id="10"/>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_Ref528937139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in its entirety by any provision in the Principal Security Agreement, the Beneficiary covenants in favour of the Secured Party that it will pay and discharge the Secured Obligations when they are due to be paid or discharged.</w:t>
      </w:r>
    </w:p>
    <w:p>
      <w:pPr>
        <w:pStyle w:val="AWGNumberedList12C"/>
        <w:numPr>
          <w:ilvl w:val="0"/>
          <w:numId w:val="4"/>
        </w:numPr>
        <w:rPr>
          <w:rFonts w:ascii="DejaVu Serif" w:hAnsi="DejaVu Serif"/>
        </w:rPr>
      </w:pPr>
      <w:bookmarkStart w:id="11" w:name="_Toc525847196"/>
      <w:bookmarkStart w:id="12" w:name="_Ref525842821"/>
      <w:r>
        <w:rPr>
          <w:rFonts w:ascii="DejaVu Serif" w:hAnsi="DejaVu Serif"/>
        </w:rPr>
        <w:t>Trustee Consent and Agreement</w:t>
      </w:r>
      <w:bookmarkEnd w:id="11"/>
      <w:bookmarkEnd w:id="12"/>
    </w:p>
    <w:p>
      <w:pPr>
        <w:pStyle w:val="AWGBodyText12C"/>
        <w:rPr>
          <w:rFonts w:ascii="DejaVu Serif" w:hAnsi="DejaVu Serif"/>
        </w:rPr>
      </w:pPr>
      <w:r>
        <w:rPr>
          <w:rFonts w:ascii="DejaVu Serif" w:hAnsi="DejaVu Serif"/>
        </w:rPr>
        <w:t xml:space="preserve">The Trustee consents and agrees to the assignment and charge created by and the grant of the Security Interest in the Pledged Beneficial Interest effected pursuant to this Instrument, and to the terms of this Instrument (including the Master Terms). </w:t>
      </w:r>
    </w:p>
    <w:p>
      <w:pPr>
        <w:pStyle w:val="AWGNumberedList12C"/>
        <w:numPr>
          <w:ilvl w:val="0"/>
          <w:numId w:val="4"/>
        </w:numPr>
        <w:rPr>
          <w:rFonts w:ascii="DejaVu Serif" w:hAnsi="DejaVu Serif"/>
        </w:rPr>
      </w:pPr>
      <w:bookmarkStart w:id="13" w:name="_Ref526435579"/>
      <w:bookmarkStart w:id="14" w:name="_Toc526435842"/>
      <w:bookmarkStart w:id="15" w:name="_Ref526431885"/>
      <w:bookmarkStart w:id="16" w:name="_Ref526432077"/>
      <w:r>
        <w:rPr>
          <w:rFonts w:ascii="DejaVu Serif" w:hAnsi="DejaVu Serif"/>
        </w:rPr>
        <w:t>Participation in Global Aircraft Trading System</w:t>
      </w:r>
      <w:bookmarkEnd w:id="13"/>
      <w:bookmarkEnd w:id="14"/>
      <w:bookmarkEnd w:id="15"/>
      <w:bookmarkEnd w:id="16"/>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p>
    <w:p>
      <w:pPr>
        <w:pStyle w:val="AWGBodyText12C"/>
        <w:rPr>
          <w:rFonts w:ascii="DejaVu Serif" w:hAnsi="DejaVu Serif"/>
        </w:rPr>
      </w:pPr>
      <w:bookmarkStart w:id="17" w:name="_Toc526435844"/>
      <w:r>
        <w:rPr>
          <w:rFonts w:ascii="DejaVu Serif" w:hAnsi="DejaVu Serif"/>
        </w:rPr>
        <w:t>Upon any Non-GATS Transfer taking effect</w:t>
      </w:r>
      <w:bookmarkEnd w:id="17"/>
      <w:r>
        <w:rPr>
          <w:rFonts w:ascii="DejaVu Serif" w:hAnsi="DejaVu Serif"/>
        </w:rPr>
        <w:t>:</w:t>
      </w:r>
    </w:p>
    <w:p>
      <w:pPr>
        <w:pStyle w:val="AWGNumberedListAlt32C"/>
        <w:numPr>
          <w:ilvl w:val="3"/>
          <w:numId w:val="4"/>
        </w:numPr>
        <w:rPr>
          <w:rFonts w:ascii="DejaVu Serif" w:hAnsi="DejaVu Serif"/>
        </w:rPr>
      </w:pPr>
      <w:r>
        <w:rPr>
          <w:rFonts w:ascii="DejaVu Serif" w:hAnsi="DejaVu Serif"/>
        </w:rPr>
        <w:t>this Instrument and each other GATS Security Document will cease to be a ‘GATS Instrument’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r>
        <w:rPr>
          <w:rFonts w:ascii="DejaVu Serif" w:hAnsi="DejaVu Serif"/>
        </w:rPr>
        <w:t xml:space="preserve"> and the GATS e-Terms; and</w:t>
      </w:r>
    </w:p>
    <w:p>
      <w:pPr>
        <w:pStyle w:val="AWGNumberedListAlt32C"/>
        <w:numPr>
          <w:ilvl w:val="3"/>
          <w:numId w:val="4"/>
        </w:numPr>
        <w:rPr>
          <w:rFonts w:ascii="DejaVu Serif" w:hAnsi="DejaVu Serif"/>
        </w:rPr>
      </w:pPr>
      <w:r>
        <w:rPr>
          <w:rFonts w:ascii="DejaVu Serif" w:hAnsi="DejaVu Serif"/>
        </w:rPr>
        <w:t>the GATS Trust shall cease to be a ‘GATS Trust’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r>
        <w:rPr>
          <w:rFonts w:ascii="DejaVu Serif" w:hAnsi="DejaVu Serif"/>
        </w:rPr>
        <w:t xml:space="preserve"> (but may later be re-migrated into GATS in accordance with the GATS e-Terms as if it were being migrated into GATS as a new ‘GATS Trust’).</w:t>
      </w:r>
    </w:p>
    <w:p>
      <w:pPr>
        <w:pStyle w:val="AWGNumberedList12C"/>
        <w:numPr>
          <w:ilvl w:val="0"/>
          <w:numId w:val="4"/>
        </w:numPr>
        <w:rPr>
          <w:rFonts w:ascii="DejaVu Serif" w:hAnsi="DejaVu Serif"/>
        </w:rPr>
      </w:pPr>
      <w:bookmarkStart w:id="18" w:name="_Toc525847197"/>
      <w:bookmarkStart w:id="19" w:name="_Ref526872824"/>
      <w:r>
        <w:rPr>
          <w:rFonts w:ascii="DejaVu Serif" w:hAnsi="DejaVu Serif"/>
        </w:rPr>
        <w:t>Miscellaneous</w:t>
      </w:r>
      <w:bookmarkEnd w:id="18"/>
      <w:bookmarkEnd w:id="19"/>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 xml:space="preserve">Each party to this Instrument consents to the use by </w:t>
      </w:r>
      <w:r>
        <w:rPr>
          <w:rFonts w:eastAsia="Calibri" w:cs="" w:ascii="DejaVu Serif" w:hAnsi="DejaVu Serif"/>
          <w:color w:val="000000" w:themeColor="text1"/>
          <w:kern w:val="0"/>
          <w:sz w:val="18"/>
          <w:szCs w:val="20"/>
          <w:lang w:val="en-GB" w:eastAsia="ja-JP" w:bidi="ar-SA"/>
        </w:rPr>
        <w:t>each</w:t>
      </w:r>
      <w:r>
        <w:rPr>
          <w:rFonts w:ascii="DejaVu Serif" w:hAnsi="DejaVu Serif"/>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0"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numPr>
          <w:ilvl w:val="3"/>
          <w:numId w:val="4"/>
        </w:numPr>
        <w:rPr/>
      </w:pPr>
      <w:bookmarkStart w:id="21"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bookmarkStart w:id="22" w:name="_Toc525847207"/>
      <w:r>
        <w:rPr>
          <w:rFonts w:ascii="DejaVu Serif" w:hAnsi="DejaVu Serif"/>
        </w:rPr>
        <w:t>Counterparts</w:t>
      </w:r>
      <w:bookmarkEnd w:id="22"/>
    </w:p>
    <w:p>
      <w:pPr>
        <w:pStyle w:val="AWGBodyText12C"/>
        <w:rPr>
          <w:rFonts w:ascii="DejaVu Serif" w:hAnsi="DejaVu Serif"/>
        </w:rPr>
      </w:pPr>
      <w:r>
        <w:rPr>
          <w:rFonts w:ascii="DejaVu Serif" w:hAnsi="DejaVu Serif"/>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bookmarkStart w:id="23" w:name="_Toc525847208"/>
      <w:r>
        <w:rPr>
          <w:rFonts w:ascii="DejaVu Serif" w:hAnsi="DejaVu Serif"/>
        </w:rPr>
        <w:t>Governing Law</w:t>
      </w:r>
      <w:bookmarkEnd w:id="23"/>
    </w:p>
    <w:p>
      <w:pPr>
        <w:pStyle w:val="AWGBodyText12C"/>
        <w:rPr>
          <w:rFonts w:ascii="DejaVu Serif" w:hAnsi="DejaVu Serif"/>
        </w:rPr>
      </w:pPr>
      <w:r>
        <w:rPr>
          <w:rFonts w:ascii="DejaVu Serif" w:hAnsi="DejaVu Serif"/>
          <w:lang w:val="en-US"/>
        </w:rPr>
        <w:t>This Instrument and all non-contractual obligations arising out of or in connection with it will in all respects be governed by and construed in accordance with the laws of Singapore</w:t>
      </w:r>
      <w:r>
        <w:rPr>
          <w:rFonts w:ascii="DejaVu Serif" w:hAnsi="DejaVu Serif"/>
        </w:rPr>
        <w:t>.</w:t>
      </w:r>
      <w:bookmarkStart w:id="24" w:name="_Ref525842536"/>
      <w:bookmarkEnd w:id="24"/>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p>
      <w:pPr>
        <w:pStyle w:val="Normal"/>
        <w:spacing w:before="0" w:after="0"/>
        <w:rPr>
          <w:rFonts w:ascii="DejaVu Serif" w:hAnsi="DejaVu Serif"/>
          <w:lang w:val="en-GB"/>
        </w:rPr>
      </w:pPr>
      <w:r>
        <w:rPr>
          <w:rFonts w:ascii="DejaVu Serif" w:hAnsi="DejaVu Serif"/>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r>
              <w:rPr>
                <w:b/>
                <w:sz w:val="18"/>
                <w:szCs w:val="18"/>
                <w:lang w:val="en-US"/>
              </w:rPr>
              <w:t>${beneficiary.name}</w:t>
            </w:r>
            <w:r>
              <w:rPr>
                <w:sz w:val="18"/>
                <w:szCs w:val="18"/>
                <w:lang w:val="en-US"/>
              </w:rPr>
              <w:t xml:space="preserve">, </w:t>
            </w:r>
            <w:r>
              <w:rPr>
                <w:b w:val="false"/>
                <w:bCs w:val="false"/>
                <w:sz w:val="18"/>
                <w:szCs w:val="18"/>
                <w:lang w:val="en-US"/>
              </w:rPr>
              <w:t>as Beneficiary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0"/>
            <w:r>
              <w:rPr>
                <w:sz w:val="18"/>
                <w:szCs w:val="18"/>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p>
          <w:p>
            <w:pPr>
              <w:pStyle w:val="AWGBodyText"/>
              <w:spacing w:lineRule="auto" w:line="240" w:before="0" w:after="0"/>
              <w:rPr>
                <w:rFonts w:ascii="DejaVu Serif" w:hAnsi="DejaVu Serif"/>
              </w:rPr>
            </w:pPr>
            <w:r>
              <w:rPr>
                <w:sz w:val="18"/>
                <w:szCs w:val="18"/>
              </w:rPr>
              <w:t>Its: ${Its}</w:t>
            </w:r>
            <w:commentRangeEnd w:id="0"/>
            <w:r>
              <w:commentReference w:id="0"/>
            </w:r>
            <w:r>
              <w:rPr>
                <w:sz w:val="18"/>
                <w:szCs w:val="18"/>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sz w:val="18"/>
                <w:szCs w:val="18"/>
              </w:rPr>
            </w:pPr>
            <w:r>
              <w:rPr>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pPr>
            <w:r>
              <w:rPr>
                <w:b/>
                <w:color w:val="000000"/>
                <w:sz w:val="18"/>
                <w:szCs w:val="18"/>
                <w:lang w:val="en-US"/>
              </w:rPr>
              <w:t>${securedParty.name}</w:t>
            </w:r>
            <w:r>
              <w:rPr>
                <w:b w:val="false"/>
                <w:bCs w:val="false"/>
                <w:color w:val="000000"/>
                <w:sz w:val="18"/>
                <w:szCs w:val="18"/>
                <w:lang w:val="en-US"/>
              </w:rPr>
              <w:t>,</w:t>
            </w:r>
            <w:r>
              <w:rPr>
                <w:sz w:val="18"/>
                <w:szCs w:val="18"/>
                <w:lang w:val="en-US"/>
              </w:rPr>
              <w:t xml:space="preserve"> </w:t>
            </w:r>
            <w:r>
              <w:rPr>
                <w:b w:val="false"/>
                <w:bCs w:val="false"/>
                <w:sz w:val="18"/>
                <w:szCs w:val="18"/>
                <w:lang w:val="en-US"/>
              </w:rPr>
              <w:t>as Original Secured Party, acting in the capacity as indicated in Schedule 2 (</w:t>
            </w:r>
            <w:r>
              <w:rPr>
                <w:b w:val="false"/>
                <w:bCs w:val="false"/>
                <w:i/>
                <w:sz w:val="18"/>
                <w:szCs w:val="18"/>
                <w:lang w:val="en-US"/>
              </w:rPr>
              <w:t>Party Details</w:t>
            </w:r>
            <w:r>
              <w:rPr>
                <w:b w:val="false"/>
                <w:bCs w:val="false"/>
                <w:sz w:val="18"/>
                <w:szCs w:val="18"/>
                <w:lang w:val="en-US"/>
              </w:rPr>
              <w: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2"/>
            <w:r>
              <w:rPr>
                <w:sz w:val="18"/>
                <w:szCs w:val="18"/>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commentRangeEnd w:id="2"/>
            <w:r>
              <w:commentReference w:id="2"/>
            </w:r>
            <w:r>
              <w:rPr>
                <w:sz w:val="18"/>
                <w:szCs w:val="18"/>
              </w:rPr>
            </w:r>
          </w:p>
          <w:p>
            <w:pPr>
              <w:pStyle w:val="AWGBodyText"/>
              <w:spacing w:lineRule="auto" w:line="240" w:before="0" w:after="0"/>
              <w:rPr>
                <w:rFonts w:ascii="DejaVu Serif" w:hAnsi="DejaVu Serif"/>
              </w:rPr>
            </w:pPr>
            <w:r>
              <w:rPr>
                <w:sz w:val="18"/>
                <w:szCs w:val="18"/>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r>
              <w:rPr>
                <w:b/>
                <w:bCs/>
                <w:sz w:val="18"/>
                <w:szCs w:val="18"/>
                <w:lang w:val="en-US"/>
              </w:rPr>
              <w:t>${trustee.name}</w:t>
            </w:r>
            <w:r>
              <w:rPr>
                <w:b w:val="false"/>
                <w:bCs w:val="false"/>
                <w:sz w:val="18"/>
                <w:szCs w:val="18"/>
                <w:lang w:val="en-US"/>
              </w:rPr>
              <w:t>, 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4"/>
            <w:r>
              <w:rPr>
                <w:sz w:val="18"/>
                <w:szCs w:val="18"/>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commentRangeEnd w:id="4"/>
            <w:r>
              <w:commentReference w:id="4"/>
            </w:r>
            <w:r>
              <w:rPr>
                <w:sz w:val="18"/>
                <w:szCs w:val="18"/>
              </w:rPr>
            </w:r>
          </w:p>
          <w:p>
            <w:pPr>
              <w:pStyle w:val="AWGBodyText"/>
              <w:spacing w:lineRule="auto" w:line="240" w:before="0" w:after="0"/>
              <w:rPr>
                <w:rFonts w:ascii="DejaVu Serif" w:hAnsi="DejaVu Serif"/>
              </w:rPr>
            </w:pPr>
            <w:r>
              <w:rPr>
                <w:sz w:val="18"/>
                <w:szCs w:val="18"/>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26" w:name="_Toc526435856"/>
      <w:r>
        <w:rPr/>
        <w:br/>
      </w:r>
      <w:bookmarkStart w:id="27" w:name="_Ref528695248"/>
      <w:bookmarkEnd w:id="26"/>
      <w:r>
        <w:rPr/>
        <w:t>Description of GATS Trust</w:t>
      </w:r>
      <w:bookmarkEnd w:id="27"/>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0"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70"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sz w:val="18"/>
                <w:szCs w:val="18"/>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${trust.uin}</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c>
          <w:tcPr>
            <w:tcW w:w="21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9" w:name="_Ref29981979"/>
      <w:r>
        <w:rPr/>
        <w:t>Party Details</w:t>
      </w:r>
      <w:bookmarkEnd w:id="29"/>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rPr>
            </w:pPr>
            <w:r>
              <w:rPr>
                <w:b/>
              </w:rPr>
              <w:t>1</w:t>
            </w:r>
          </w:p>
        </w:tc>
        <w:tc>
          <w:tcPr>
            <w:tcW w:w="3390" w:type="dxa"/>
            <w:tcBorders/>
            <w:shd w:fill="auto" w:val="clear"/>
          </w:tcPr>
          <w:p>
            <w:pPr>
              <w:pStyle w:val="AWGBodyText"/>
              <w:spacing w:lineRule="auto" w:line="240" w:before="0" w:after="0"/>
              <w:jc w:val="left"/>
              <w:rPr>
                <w:b/>
                <w:b/>
              </w:rPr>
            </w:pPr>
            <w:r>
              <w:rPr>
                <w:b/>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b/>
                <w:b/>
              </w:rPr>
            </w:pPr>
            <w:r>
              <w:rPr>
                <w:b/>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AWGBodyText"/>
        <w:rPr>
          <w:rFonts w:ascii="DejaVu Serif" w:hAnsi="DejaVu Serif"/>
          <w:sz w:val="18"/>
          <w:lang w:val="en-GB"/>
        </w:rPr>
      </w:pPr>
      <w:r>
        <w:rPr>
          <w:sz w:val="18"/>
          <w:lang w:val="en-GB"/>
        </w:rPr>
      </w:r>
      <w:r>
        <w:br w:type="page"/>
      </w:r>
    </w:p>
    <w:p>
      <w:pPr>
        <w:pStyle w:val="AWGBodyText"/>
        <w:rPr>
          <w:rFonts w:ascii="DejaVu Serif" w:hAnsi="DejaVu Serif"/>
          <w:sz w:val="18"/>
          <w:lang w:val="en-GB"/>
        </w:rPr>
      </w:pPr>
      <w:r>
        <w:rPr>
          <w:sz w:val="18"/>
          <w:lang w:val="en-GB"/>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Original Secured Party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organisation:</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lang w:val="en-US"/>
              </w:rPr>
              <w:t>Capacity:</w:t>
            </w:r>
          </w:p>
        </w:tc>
        <w:tc>
          <w:tcPr>
            <w:tcW w:w="5081"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${securedPartIsNotAgent}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in its individual capacity for its own account</w:t>
                  </w:r>
                </w:p>
              </w:tc>
            </w:tr>
          </w:tbl>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sz w:val="18"/>
          <w:lang w:val="en-GB"/>
        </w:rPr>
      </w:pPr>
      <w:r>
        <w:rPr>
          <w:rFonts w:ascii="DejaVu Serif" w:hAnsi="DejaVu Serif"/>
          <w:sz w:val="18"/>
          <w:lang w:val="en-GB"/>
        </w:rPr>
      </w:r>
    </w:p>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3</w:t>
            </w:r>
          </w:p>
        </w:tc>
        <w:tc>
          <w:tcPr>
            <w:tcW w:w="3390" w:type="dxa"/>
            <w:tcBorders/>
            <w:shd w:fill="auto" w:val="clear"/>
          </w:tcPr>
          <w:p>
            <w:pPr>
              <w:pStyle w:val="AWGBodyText"/>
              <w:spacing w:lineRule="auto" w:line="240" w:before="0" w:after="0"/>
              <w:jc w:val="left"/>
              <w:rPr>
                <w:rFonts w:ascii="DejaVu Serif" w:hAnsi="DejaVu Serif"/>
              </w:rPr>
            </w:pPr>
            <w:r>
              <w:rPr>
                <w:b/>
                <w:sz w:val="18"/>
                <w:lang w:val="en-G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1" w:name="_Ref534815223"/>
      <w:r>
        <w:rPr/>
        <w:t>Specific Information</w:t>
      </w:r>
      <w:bookmarkEnd w:id="31"/>
    </w:p>
    <w:p>
      <w:pPr>
        <w:pStyle w:val="AWGBodyText"/>
        <w:jc w:val="center"/>
        <w:rPr>
          <w:rFonts w:ascii="DejaVu Serif" w:hAnsi="DejaVu Serif"/>
        </w:rPr>
      </w:pPr>
      <w:r>
        <w:rPr>
          <w:b/>
        </w:rPr>
        <w:t>Table 1</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rFonts w:ascii="DejaVu Serif" w:hAnsi="DejaVu Serif"/>
              </w:rPr>
            </w:pPr>
            <w:r>
              <w:rPr>
                <w:b/>
              </w:rPr>
              <w:t>Principal Finance Document</w:t>
            </w:r>
          </w:p>
        </w:tc>
      </w:tr>
      <w:tr>
        <w:trPr/>
        <w:tc>
          <w:tcPr>
            <w:tcW w:w="2722"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Document Name</w:t>
            </w:r>
          </w:p>
        </w:tc>
        <w:tc>
          <w:tcPr>
            <w:tcW w:w="6321"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2" w:name="__DdeLink__981_493562667"/>
            <w:r>
              <w:rPr>
                <w:color w:val="000000"/>
                <w:lang w:val="en-US"/>
              </w:rPr>
              <w:t>financeDocName</w:t>
            </w:r>
            <w:bookmarkEnd w:id="32"/>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Date</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3" w:name="__DdeLink__983_493562667"/>
            <w:r>
              <w:rPr>
                <w:color w:val="000000"/>
                <w:lang w:val="en-US"/>
              </w:rPr>
              <w:t>financeDocDate</w:t>
            </w:r>
            <w:bookmarkEnd w:id="33"/>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Principal Borrower Party [*]</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4" w:name="__DdeLink__985_493562667"/>
            <w:r>
              <w:rPr>
                <w:color w:val="000000"/>
                <w:sz w:val="18"/>
                <w:lang w:val="en-US"/>
              </w:rPr>
              <w:t>financeDocBorrower</w:t>
            </w:r>
            <w:bookmarkEnd w:id="34"/>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Parties</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5" w:name="__DdeLink__987_493562667"/>
            <w:r>
              <w:rPr>
                <w:color w:val="000000"/>
                <w:lang w:val="en-US"/>
              </w:rPr>
              <w:t>financeDocParties</w:t>
            </w:r>
            <w:bookmarkEnd w:id="35"/>
            <w:r>
              <w:rPr>
                <w:color w:val="000000"/>
                <w:lang w:val="en-US"/>
              </w:rPr>
              <w:t>}</w:t>
            </w:r>
          </w:p>
          <w:p>
            <w:pPr>
              <w:pStyle w:val="AWGBodyText"/>
              <w:spacing w:lineRule="auto" w:line="240" w:before="0" w:after="0"/>
              <w:rPr>
                <w:color w:val="000000"/>
                <w:lang w:val="en-US"/>
              </w:rPr>
            </w:pPr>
            <w:r>
              <w:rPr>
                <w:color w:val="000000"/>
                <w:lang w:val="en-US"/>
              </w:rPr>
            </w:r>
          </w:p>
        </w:tc>
      </w:tr>
    </w:tbl>
    <w:p>
      <w:pPr>
        <w:pStyle w:val="AWGBodyText"/>
        <w:spacing w:before="120" w:after="120"/>
        <w:ind w:left="540" w:hanging="540"/>
        <w:rPr>
          <w:rFonts w:ascii="DejaVu Serif" w:hAnsi="DejaVu Serif"/>
        </w:rPr>
      </w:pPr>
      <w:r>
        <w:rPr/>
        <w:t>[*]</w:t>
        <w:tab/>
        <w:t>The Principal Borrower Party need not necessarily be a party to the Principal Finance Document.</w:t>
      </w:r>
    </w:p>
    <w:p>
      <w:pPr>
        <w:pStyle w:val="AWGBodyText"/>
        <w:spacing w:before="240" w:after="240"/>
        <w:jc w:val="center"/>
        <w:rPr>
          <w:b/>
          <w:b/>
        </w:rPr>
      </w:pPr>
      <w:r>
        <w:rPr>
          <w:b/>
        </w:rPr>
        <w:t>Table 2</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rFonts w:ascii="DejaVu Serif" w:hAnsi="DejaVu Serif"/>
              </w:rPr>
            </w:pPr>
            <w:r>
              <w:rPr>
                <w:b/>
              </w:rPr>
              <w:t>Principal Security Agreement</w:t>
            </w:r>
          </w:p>
        </w:tc>
      </w:tr>
      <w:tr>
        <w:trPr/>
        <w:tc>
          <w:tcPr>
            <w:tcW w:w="2722"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Document Name</w:t>
            </w:r>
          </w:p>
        </w:tc>
        <w:tc>
          <w:tcPr>
            <w:tcW w:w="6321"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b w:val="false"/>
                <w:bCs w:val="false"/>
                <w:color w:val="000000"/>
                <w:lang w:val="en-US"/>
              </w:rPr>
              <w:t>${principalDocName}</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Date</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${principalDocDate}</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b/>
              </w:rPr>
              <w:t>Parties</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${principalDocParties}</w:t>
            </w:r>
          </w:p>
          <w:p>
            <w:pPr>
              <w:pStyle w:val="AWGBodyText"/>
              <w:spacing w:lineRule="auto" w:line="240" w:before="0" w:after="0"/>
              <w:rPr>
                <w:color w:val="000000"/>
                <w:sz w:val="18"/>
                <w:lang w:val="en-US"/>
              </w:rPr>
            </w:pPr>
            <w:r>
              <w:rPr>
                <w:color w:val="000000"/>
                <w:sz w:val="18"/>
                <w:lang w:val="en-US"/>
              </w:rPr>
            </w:r>
          </w:p>
        </w:tc>
      </w:tr>
    </w:tbl>
    <w:p>
      <w:pPr>
        <w:pStyle w:val="AWGBodyText"/>
        <w:spacing w:before="240" w:after="240"/>
        <w:jc w:val="center"/>
        <w:rPr>
          <w:b/>
          <w:b/>
        </w:rPr>
      </w:pPr>
      <w:r>
        <w:rPr>
          <w:b/>
        </w:rPr>
        <w:t>Table 3</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b/>
                <w:b/>
              </w:rPr>
            </w:pPr>
            <w:r>
              <w:rPr>
                <w:b/>
              </w:rPr>
              <w:t>Priority of Payment Provisions</w:t>
            </w:r>
          </w:p>
        </w:tc>
      </w:tr>
      <w:tr>
        <w:trPr/>
        <w:tc>
          <w:tcPr>
            <w:tcW w:w="2722"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b w:val="false"/>
                <w:b w:val="false"/>
                <w:bCs w:val="false"/>
                <w:color w:val="000000"/>
                <w:lang w:val="en-US"/>
              </w:rPr>
            </w:pPr>
            <w:r>
              <w:rPr>
                <w:b/>
              </w:rPr>
              <w:t>Section Reference</w:t>
              <w:br/>
            </w:r>
            <w:r>
              <w:rPr/>
              <w:t>of Principal Finance Document, Principal Security Agreement or other document</w:t>
            </w:r>
          </w:p>
        </w:tc>
        <w:tc>
          <w:tcPr>
            <w:tcW w:w="6321"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b w:val="false"/>
                <w:bCs w:val="false"/>
                <w:color w:val="000000"/>
                <w:lang w:val="en-US"/>
              </w:rPr>
              <w:t>${paymentProvisions}</w:t>
            </w:r>
          </w:p>
          <w:p>
            <w:pPr>
              <w:pStyle w:val="AWGBodyText"/>
              <w:spacing w:lineRule="auto" w:line="240" w:before="0" w:after="0"/>
              <w:rPr>
                <w:b w:val="false"/>
                <w:b w:val="false"/>
                <w:bCs w:val="false"/>
                <w:color w:val="000000"/>
                <w:lang w:val="en-US"/>
              </w:rPr>
            </w:pPr>
            <w:r>
              <w:rPr>
                <w:b w:val="false"/>
                <w:bCs w:val="false"/>
                <w:color w:val="000000"/>
                <w:lang w:val="en-US"/>
              </w:rPr>
            </w:r>
          </w:p>
        </w:tc>
      </w:tr>
    </w:tbl>
    <w:p>
      <w:pPr>
        <w:pStyle w:val="AWGBodyText"/>
        <w:spacing w:before="240" w:after="240"/>
        <w:jc w:val="center"/>
        <w:rPr>
          <w:rFonts w:ascii="DejaVu Serif" w:hAnsi="DejaVu Serif"/>
          <w:b/>
          <w:b/>
          <w:sz w:val="18"/>
          <w:lang w:val="en-GB"/>
        </w:rPr>
      </w:pPr>
      <w:r>
        <w:rPr>
          <w:b/>
          <w:sz w:val="18"/>
          <w:lang w:val="en-GB"/>
        </w:rPr>
      </w:r>
      <w:r>
        <w:br w:type="page"/>
      </w:r>
    </w:p>
    <w:p>
      <w:pPr>
        <w:pStyle w:val="AWGBodyText"/>
        <w:spacing w:before="240" w:after="240"/>
        <w:jc w:val="center"/>
        <w:rPr>
          <w:rFonts w:ascii="DejaVu Serif" w:hAnsi="DejaVu Serif"/>
        </w:rPr>
      </w:pPr>
      <w:r>
        <w:rPr>
          <w:b/>
        </w:rPr>
        <w:t>Table 4</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802"/>
        <w:gridCol w:w="8241"/>
      </w:tblGrid>
      <w:tr>
        <w:trPr/>
        <w:tc>
          <w:tcPr>
            <w:tcW w:w="9043" w:type="dxa"/>
            <w:gridSpan w:val="2"/>
            <w:tcBorders/>
            <w:shd w:fill="auto" w:val="clear"/>
          </w:tcPr>
          <w:p>
            <w:pPr>
              <w:pStyle w:val="AWGBodyText"/>
              <w:spacing w:lineRule="auto" w:line="240" w:before="0" w:after="0"/>
              <w:rPr>
                <w:rFonts w:ascii="DejaVu Serif" w:hAnsi="DejaVu Serif"/>
              </w:rPr>
            </w:pPr>
            <w:r>
              <w:rPr>
                <w:b/>
              </w:rPr>
              <w:t>Limited Purpose Covenants</w:t>
            </w:r>
          </w:p>
        </w:tc>
      </w:tr>
      <w:tr>
        <w:trPr/>
        <w:tc>
          <w:tcPr>
            <w:tcW w:w="802" w:type="dxa"/>
            <w:tcBorders>
              <w:bottom w:val="nil"/>
              <w:right w:val="nil"/>
            </w:tcBorders>
            <w:shd w:fill="auto" w:val="clear"/>
            <w:tcMar>
              <w:top w:w="58" w:type="dxa"/>
              <w:left w:w="115" w:type="dxa"/>
              <w:bottom w:w="58" w:type="dxa"/>
              <w:right w:w="115" w:type="dxa"/>
            </w:tcMa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sz w:val="16"/>
                      <w:szCs w:val="16"/>
                    </w:rPr>
                    <w:t>${masterTermsApplied}</w:t>
                  </w:r>
                </w:p>
              </w:tc>
            </w:tr>
          </w:tbl>
          <w:p>
            <w:pPr>
              <w:pStyle w:val="AWGBodyText"/>
              <w:spacing w:lineRule="auto" w:line="240" w:before="120" w:after="120"/>
              <w:jc w:val="left"/>
              <w:rPr>
                <w:rFonts w:ascii="DejaVu Serif" w:hAnsi="DejaVu Serif"/>
              </w:rPr>
            </w:pPr>
            <w:r>
              <w:rPr/>
            </w:r>
          </w:p>
        </w:tc>
        <w:tc>
          <w:tcPr>
            <w:tcW w:w="8241"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rFonts w:ascii="DejaVu Serif" w:hAnsi="DejaVu Serif"/>
              </w:rPr>
            </w:pPr>
            <w:r>
              <w:rPr>
                <w:lang w:val="en-US"/>
              </w:rPr>
              <w:t>If checked, the limited purpose covenants in section 4.4 of the Master Terms APPLY</w:t>
            </w:r>
          </w:p>
        </w:tc>
      </w:tr>
      <w:tr>
        <w:trPr/>
        <w:tc>
          <w:tcPr>
            <w:tcW w:w="80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sz w:val="16"/>
                      <w:szCs w:val="16"/>
                    </w:rPr>
                    <w:t>${masterTermsNotApplied}</w:t>
                  </w:r>
                </w:p>
              </w:tc>
            </w:tr>
          </w:tbl>
          <w:p>
            <w:pPr>
              <w:pStyle w:val="AWGBodyText"/>
              <w:spacing w:lineRule="auto" w:line="240" w:before="120" w:after="120"/>
              <w:jc w:val="left"/>
              <w:rPr>
                <w:rFonts w:ascii="DejaVu Serif" w:hAnsi="DejaVu Serif"/>
              </w:rPr>
            </w:pPr>
            <w:r>
              <w:rPr/>
            </w:r>
          </w:p>
        </w:tc>
        <w:tc>
          <w:tcPr>
            <w:tcW w:w="8241"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rFonts w:ascii="DejaVu Serif" w:hAnsi="DejaVu Serif"/>
              </w:rPr>
            </w:pPr>
            <w:r>
              <w:rPr>
                <w:lang w:val="en-US"/>
              </w:rPr>
              <w:t>If checked, the limited purpose covenants in section 4.4 of the Master Terms DO NOT APPLY</w:t>
            </w:r>
          </w:p>
        </w:tc>
      </w:tr>
    </w:tbl>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t>Description of GATS Security Documents</w:t>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8"/>
        <w:gridCol w:w="2497"/>
        <w:gridCol w:w="6169"/>
      </w:tblGrid>
      <w:tr>
        <w:trPr/>
        <w:tc>
          <w:tcPr>
            <w:tcW w:w="378" w:type="dxa"/>
            <w:tcBorders>
              <w:bottom w:val="nil"/>
              <w:right w:val="nil"/>
            </w:tcBorders>
            <w:shd w:fill="auto" w:val="clear"/>
          </w:tcPr>
          <w:p>
            <w:pPr>
              <w:pStyle w:val="AWGBodyText"/>
              <w:numPr>
                <w:ilvl w:val="0"/>
                <w:numId w:val="5"/>
              </w:numPr>
              <w:spacing w:lineRule="auto" w:line="240" w:before="0" w:after="0"/>
              <w:jc w:val="left"/>
              <w:rPr>
                <w:rFonts w:ascii="DejaVu Serif" w:hAnsi="DejaVu Serif"/>
              </w:rPr>
            </w:pPr>
            <w:r>
              <w:rPr/>
            </w:r>
          </w:p>
        </w:tc>
        <w:tc>
          <w:tcPr>
            <w:tcW w:w="2497"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169" w:type="dxa"/>
            <w:tcBorders>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GATS Security Instrument</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97"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169"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GB"/>
              </w:rPr>
              <w:t>${trust.transactionID}</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97"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169" w:type="dxa"/>
            <w:tcBorders>
              <w:top w:val="nil"/>
              <w:bottom w:val="nil"/>
            </w:tcBorders>
            <w:shd w:fill="auto" w:val="clear"/>
          </w:tcPr>
          <w:p>
            <w:pPr>
              <w:pStyle w:val="AWGBodyText"/>
              <w:spacing w:lineRule="auto" w:line="240" w:before="0" w:after="0"/>
              <w:jc w:val="left"/>
              <w:rPr>
                <w:rFonts w:ascii="DejaVu Serif" w:hAnsi="DejaVu Serif"/>
              </w:rPr>
            </w:pPr>
            <w:r>
              <w:rPr/>
              <w:t>Singapore (SG)</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97"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169" w:type="dxa"/>
            <w:tcBorders>
              <w:top w:val="nil"/>
              <w:bottom w:val="nil"/>
            </w:tcBorders>
            <w:shd w:fill="auto" w:val="clear"/>
          </w:tcPr>
          <w:p>
            <w:pPr>
              <w:pStyle w:val="AWGBodyText"/>
              <w:spacing w:lineRule="auto" w:line="240" w:before="0" w:after="0"/>
              <w:jc w:val="left"/>
              <w:rPr>
                <w:rFonts w:ascii="DejaVu Serif" w:hAnsi="DejaVu Serif"/>
              </w:rPr>
            </w:pPr>
            <w:r>
              <w:rPr/>
              <w:t>1.0</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97"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169" w:type="dxa"/>
            <w:tcBorders>
              <w:top w:val="nil"/>
              <w:bottom w:val="nil"/>
            </w:tcBorders>
            <w:shd w:fill="auto" w:val="clear"/>
          </w:tcPr>
          <w:p>
            <w:pPr>
              <w:pStyle w:val="AWGBodyText"/>
              <w:spacing w:lineRule="auto" w:line="240" w:before="0" w:after="0"/>
              <w:jc w:val="left"/>
              <w:rPr>
                <w:rFonts w:ascii="DejaVu Serif" w:hAnsi="DejaVu Serif"/>
              </w:rPr>
            </w:pPr>
            <w:r>
              <w:rPr/>
              <w:t>The Effective Time</w:t>
            </w:r>
          </w:p>
        </w:tc>
      </w:tr>
      <w:tr>
        <w:trPr/>
        <w:tc>
          <w:tcPr>
            <w:tcW w:w="378"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497"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169" w:type="dxa"/>
            <w:tcBorders>
              <w:top w:val="nil"/>
            </w:tcBorders>
            <w:shd w:fill="auto" w:val="clear"/>
          </w:tcPr>
          <w:p>
            <w:pPr>
              <w:pStyle w:val="AWGBodyText"/>
              <w:spacing w:lineRule="auto" w:line="240" w:before="0" w:after="120"/>
              <w:jc w:val="left"/>
              <w:rPr>
                <w:rFonts w:ascii="DejaVu Serif" w:hAnsi="DejaVu Serif"/>
                <w:color w:val="000000"/>
              </w:rPr>
            </w:pPr>
            <w:bookmarkStart w:id="37" w:name="__DdeLink__8743_3020787775"/>
            <w:r>
              <w:rPr>
                <w:color w:val="000000"/>
              </w:rPr>
              <w:t>${beneficiary.name}, as Beneficiary</w:t>
            </w:r>
          </w:p>
          <w:p>
            <w:pPr>
              <w:pStyle w:val="AWGBodyText"/>
              <w:spacing w:lineRule="auto" w:line="240" w:before="0" w:after="120"/>
              <w:jc w:val="left"/>
              <w:rPr>
                <w:rFonts w:ascii="DejaVu Serif" w:hAnsi="DejaVu Serif"/>
                <w:color w:val="000000"/>
              </w:rPr>
            </w:pPr>
            <w:r>
              <w:rPr>
                <w:color w:val="000000"/>
              </w:rPr>
              <w:t>${securedParty.name}, as Original Secured Party</w:t>
            </w:r>
          </w:p>
          <w:p>
            <w:pPr>
              <w:pStyle w:val="AWGBodyText"/>
              <w:spacing w:lineRule="auto" w:line="240" w:before="0" w:after="0"/>
              <w:jc w:val="left"/>
              <w:rPr>
                <w:rFonts w:ascii="DejaVu Serif" w:hAnsi="DejaVu Serif"/>
              </w:rPr>
            </w:pPr>
            <w:r>
              <w:rPr>
                <w:color w:val="000000"/>
                <w:sz w:val="18"/>
                <w:lang w:val="en-GB"/>
              </w:rPr>
              <w:t>${trustee.name}</w:t>
            </w:r>
            <w:r>
              <w:rPr>
                <w:color w:val="000000"/>
              </w:rPr>
              <w:t>, as Trustee</w:t>
            </w:r>
            <w:bookmarkEnd w:id="37"/>
          </w:p>
          <w:p>
            <w:pPr>
              <w:pStyle w:val="AWGBodyText"/>
              <w:spacing w:lineRule="auto" w:line="240" w:before="0" w:after="0"/>
              <w:jc w:val="left"/>
              <w:rPr>
                <w:rFonts w:ascii="DejaVu Serif" w:hAnsi="DejaVu Serif"/>
                <w:color w:val="000000"/>
              </w:rPr>
            </w:pPr>
            <w:r>
              <w:rPr>
                <w:color w:val="000000"/>
              </w:rPr>
            </w:r>
            <w:bookmarkStart w:id="38" w:name="_Hlk27128081"/>
            <w:bookmarkStart w:id="39" w:name="_Hlk27128081"/>
            <w:bookmarkEnd w:id="39"/>
          </w:p>
        </w:tc>
      </w:tr>
    </w:tbl>
    <w:p>
      <w:pPr>
        <w:pStyle w:val="AWGBodyText"/>
        <w:spacing w:before="0" w:after="240"/>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0:27:3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10:28:0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3"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4" w:author="Unknown Author" w:date="2020-05-05T10:25:4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6144363"/>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407544904"/>
    </w:sdtPr>
    <w:sdtContent>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5" w:name="__DdeLink__945_37151406102"/>
          <w:r>
            <w:rPr>
              <w:sz w:val="18"/>
              <w:szCs w:val="18"/>
            </w:rPr>
            <w:t>GATS Form Version:</w:t>
          </w:r>
          <w:bookmarkEnd w:id="2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sdt>
    <w:sdtPr>
      <w:docPartObj>
        <w:docPartGallery w:val="Page Numbers (Bottom of Page)"/>
        <w:docPartUnique w:val="true"/>
      </w:docPartObj>
      <w:id w:val="188131484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8" w:name="__DdeLink__945_37151406102111113"/>
          <w:r>
            <w:rPr>
              <w:sz w:val="18"/>
              <w:szCs w:val="18"/>
            </w:rPr>
            <w:t>GATS Form Version:</w:t>
          </w:r>
          <w:bookmarkEnd w:id="28"/>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206409377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0" w:name="__DdeLink__945_37151406102111112"/>
          <w:r>
            <w:rPr>
              <w:sz w:val="18"/>
              <w:szCs w:val="18"/>
            </w:rPr>
            <w:t>GATS Form Version:</w:t>
          </w:r>
          <w:bookmarkEnd w:id="3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sdt>
    <w:sdtPr>
      <w:docPartObj>
        <w:docPartGallery w:val="Page Numbers (Bottom of Page)"/>
        <w:docPartUnique w:val="true"/>
      </w:docPartObj>
      <w:id w:val="1548181663"/>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6" w:name="__DdeLink__945_37151406102111111"/>
          <w:r>
            <w:rPr>
              <w:sz w:val="18"/>
              <w:szCs w:val="18"/>
            </w:rPr>
            <w:t>GATS Form Version:</w:t>
          </w:r>
          <w:bookmarkEnd w:id="36"/>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sdt>
    <w:sdtPr>
      <w:docPartObj>
        <w:docPartGallery w:val="Page Numbers (Bottom of Page)"/>
        <w:docPartUnique w:val="true"/>
      </w:docPartObj>
      <w:id w:val="108160025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0" w:name="__DdeLink__945_3715140610211111"/>
          <w:r>
            <w:rPr>
              <w:sz w:val="18"/>
              <w:szCs w:val="18"/>
            </w:rPr>
            <w:t>GATS Form Version:</w:t>
          </w:r>
          <w:bookmarkEnd w:id="4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-273050</wp:posOffset>
              </wp:positionV>
              <wp:extent cx="5753100" cy="1209675"/>
              <wp:effectExtent l="0" t="0" r="0" b="0"/>
              <wp:wrapNone/>
              <wp:docPr id="4" name="Shape1"/>
              <a:graphic xmlns:a="http://schemas.openxmlformats.org/drawingml/2006/main">
                <a:graphicData uri="http://schemas.microsoft.com/office/word/2010/wordprocessingShape">
                  <wps:wsp>
                    <wps:cNvSpPr/>
                    <wps:spPr>
                      <a:xfrm>
                        <a:off x="0" y="0"/>
                        <a:ext cx="57524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1.5pt;width:452.9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26258"/>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26258"/>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26258"/>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ca613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f45b52"/>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MTH1" w:customStyle="1">
    <w:name w:val="MT H1"/>
    <w:basedOn w:val="Normal"/>
    <w:next w:val="MTH2"/>
    <w:autoRedefine/>
    <w:qFormat/>
    <w:rsid w:val="00c85079"/>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c85079"/>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c85079"/>
    <w:pPr>
      <w:keepNext w:val="false"/>
      <w:spacing w:before="90" w:after="150"/>
      <w:jc w:val="both"/>
    </w:pPr>
    <w:rPr>
      <w:b w:val="false"/>
    </w:rPr>
  </w:style>
  <w:style w:type="paragraph" w:styleId="MTH4" w:customStyle="1">
    <w:name w:val="MT H4"/>
    <w:basedOn w:val="MTH3"/>
    <w:qFormat/>
    <w:rsid w:val="00c85079"/>
    <w:pPr>
      <w:spacing w:before="0" w:after="150"/>
    </w:pPr>
    <w:rPr/>
  </w:style>
  <w:style w:type="paragraph" w:styleId="MTH5" w:customStyle="1">
    <w:name w:val="MT H5"/>
    <w:basedOn w:val="MTH4"/>
    <w:qFormat/>
    <w:rsid w:val="00c85079"/>
    <w:pPr/>
    <w:rPr/>
  </w:style>
  <w:style w:type="paragraph" w:styleId="MTH6" w:customStyle="1">
    <w:name w:val="MT H6"/>
    <w:basedOn w:val="MTH5"/>
    <w:qFormat/>
    <w:rsid w:val="00c85079"/>
    <w:pPr/>
    <w:rPr/>
  </w:style>
  <w:style w:type="paragraph" w:styleId="MTH7" w:customStyle="1">
    <w:name w:val="MT H7"/>
    <w:basedOn w:val="Normal"/>
    <w:next w:val="Normal"/>
    <w:qFormat/>
    <w:rsid w:val="00c85079"/>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c85079"/>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c85079"/>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Num" w:customStyle="1">
    <w:name w:val="MT Num"/>
    <w:basedOn w:val="Normal"/>
    <w:qFormat/>
    <w:rsid w:val="00c8507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c85079"/>
    <w:pPr>
      <w:spacing w:before="0" w:after="150"/>
    </w:pPr>
    <w:rPr/>
  </w:style>
  <w:style w:type="paragraph" w:styleId="MTNum2" w:customStyle="1">
    <w:name w:val="MT Num2"/>
    <w:basedOn w:val="MTNum1"/>
    <w:qFormat/>
    <w:rsid w:val="00c85079"/>
    <w:pPr/>
    <w:rPr/>
  </w:style>
  <w:style w:type="paragraph" w:styleId="MTNum3" w:customStyle="1">
    <w:name w:val="MT Num3"/>
    <w:basedOn w:val="MTNum2"/>
    <w:qFormat/>
    <w:rsid w:val="00c85079"/>
    <w:pPr/>
    <w:rPr/>
  </w:style>
  <w:style w:type="paragraph" w:styleId="MTNum4" w:customStyle="1">
    <w:name w:val="MT Num4"/>
    <w:basedOn w:val="MTNum3"/>
    <w:qFormat/>
    <w:rsid w:val="00c85079"/>
    <w:pPr/>
    <w:rPr/>
  </w:style>
  <w:style w:type="paragraph" w:styleId="MTNum5" w:customStyle="1">
    <w:name w:val="MT Num5"/>
    <w:basedOn w:val="MTNum4"/>
    <w:qFormat/>
    <w:rsid w:val="00c85079"/>
    <w:pPr/>
    <w:rPr/>
  </w:style>
  <w:style w:type="paragraph" w:styleId="MTNum6" w:customStyle="1">
    <w:name w:val="MT Num6"/>
    <w:basedOn w:val="MTNum5"/>
    <w:qFormat/>
    <w:rsid w:val="00c85079"/>
    <w:pPr/>
    <w:rPr/>
  </w:style>
  <w:style w:type="paragraph" w:styleId="AWGBodyText12C" w:customStyle="1">
    <w:name w:val="AWG Body Text 1 (2C)"/>
    <w:basedOn w:val="Normal"/>
    <w:qFormat/>
    <w:rsid w:val="00d26258"/>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26258"/>
    <w:pPr/>
    <w:rPr>
      <w:b/>
      <w:caps/>
    </w:rPr>
  </w:style>
  <w:style w:type="paragraph" w:styleId="AWGNumberedList22C" w:customStyle="1">
    <w:name w:val="AWG Numbered List 2 (2C)"/>
    <w:basedOn w:val="AWGBodyText12C"/>
    <w:next w:val="AWGBodyText12C"/>
    <w:qFormat/>
    <w:rsid w:val="00d26258"/>
    <w:pPr/>
    <w:rPr/>
  </w:style>
  <w:style w:type="paragraph" w:styleId="AWGNumberedListAlt32C" w:customStyle="1">
    <w:name w:val="AWG Numbered List Alt 3 (2C)"/>
    <w:basedOn w:val="AWGNumberedList22C"/>
    <w:next w:val="AWGBodyText12C"/>
    <w:qFormat/>
    <w:rsid w:val="00d26258"/>
    <w:pPr/>
    <w:rPr/>
  </w:style>
  <w:style w:type="paragraph" w:styleId="AWGNumberedList32C" w:customStyle="1">
    <w:name w:val="AWG Numbered List 3 (2C)"/>
    <w:basedOn w:val="Normal"/>
    <w:next w:val="Normal"/>
    <w:qFormat/>
    <w:rsid w:val="00d26258"/>
    <w:pPr>
      <w:spacing w:lineRule="auto" w:line="240"/>
      <w:jc w:val="both"/>
    </w:pPr>
    <w:rPr>
      <w:sz w:val="18"/>
      <w:lang w:val="en-GB"/>
    </w:rPr>
  </w:style>
  <w:style w:type="paragraph" w:styleId="AWGNumberedList42C" w:customStyle="1">
    <w:name w:val="AWG Numbered List 4 (2C)"/>
    <w:basedOn w:val="Normal"/>
    <w:next w:val="Normal"/>
    <w:qFormat/>
    <w:rsid w:val="00d26258"/>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26258"/>
    <w:pPr>
      <w:spacing w:lineRule="auto" w:line="240"/>
      <w:jc w:val="both"/>
    </w:pPr>
    <w:rPr>
      <w:sz w:val="18"/>
      <w:lang w:val="en-GB"/>
    </w:rPr>
  </w:style>
  <w:style w:type="paragraph" w:styleId="AWGNumberedListAlt42C" w:customStyle="1">
    <w:name w:val="AWG Numbered List Alt 4 (2C)"/>
    <w:basedOn w:val="AWGNumberedList32C"/>
    <w:next w:val="Normal"/>
    <w:qFormat/>
    <w:rsid w:val="00d26258"/>
    <w:pPr/>
    <w:rPr/>
  </w:style>
  <w:style w:type="paragraph" w:styleId="AWGDef2C" w:customStyle="1">
    <w:name w:val="AWG Def (2C)"/>
    <w:basedOn w:val="AWGBodyText2C"/>
    <w:qFormat/>
    <w:rsid w:val="00d26258"/>
    <w:pPr/>
    <w:rPr/>
  </w:style>
  <w:style w:type="paragraph" w:styleId="AWGDefPara2C" w:customStyle="1">
    <w:name w:val="AWG Def Para (2C)"/>
    <w:basedOn w:val="AWGBodyText12C"/>
    <w:qFormat/>
    <w:rsid w:val="00d26258"/>
    <w:pPr/>
    <w:rPr/>
  </w:style>
  <w:style w:type="paragraph" w:styleId="AWGNumberedList52C" w:customStyle="1">
    <w:name w:val="AWG Numbered List 5 (2C)"/>
    <w:basedOn w:val="Normal"/>
    <w:qFormat/>
    <w:rsid w:val="00d26258"/>
    <w:pPr>
      <w:spacing w:lineRule="auto" w:line="240"/>
      <w:jc w:val="both"/>
    </w:pPr>
    <w:rPr>
      <w:sz w:val="18"/>
      <w:lang w:val="en-GB"/>
    </w:rPr>
  </w:style>
  <w:style w:type="paragraph" w:styleId="AWGNumberedListAlt52C" w:customStyle="1">
    <w:name w:val="AWG Numbered List Alt 5 (2C)"/>
    <w:basedOn w:val="Normal"/>
    <w:qFormat/>
    <w:rsid w:val="00d26258"/>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B67D-8BD9-4EF0-8892-C11A7897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Application>LibreOffice/6.4.3.2$MacOSX_X86_64 LibreOffice_project/747b5d0ebf89f41c860ec2a39efd7cb15b54f2d8</Application>
  <Pages>14</Pages>
  <Words>2107</Words>
  <Characters>11807</Characters>
  <CharactersWithSpaces>13660</CharactersWithSpaces>
  <Paragraphs>239</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2020-02-27T12:33:00Z</dcterms:created>
  <dc:creator>Pearson, Dominic</dc:creator>
  <dc:description/>
  <dc:language>en-US</dc:language>
  <cp:lastModifiedBy/>
  <cp:lastPrinted>2018-03-23T14:20:00Z</cp:lastPrinted>
  <dcterms:modified xsi:type="dcterms:W3CDTF">2020-10-02T15:50:33Z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#4835-3089-0612v13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