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0" distT="0" distB="0" distL="0" distR="0" simplePos="0" locked="0" layoutInCell="1" allowOverlap="1" relativeHeight="4">
                <wp:simplePos x="0" y="0"/>
                <wp:positionH relativeFrom="column">
                  <wp:posOffset>-1905</wp:posOffset>
                </wp:positionH>
                <wp:positionV relativeFrom="paragraph">
                  <wp:posOffset>-347980</wp:posOffset>
                </wp:positionV>
                <wp:extent cx="5755005" cy="1223645"/>
                <wp:effectExtent l="0" t="0" r="0" b="0"/>
                <wp:wrapNone/>
                <wp:docPr id="1" name="Shape1"/>
                <a:graphic xmlns:a="http://schemas.openxmlformats.org/drawingml/2006/main">
                  <a:graphicData uri="http://schemas.microsoft.com/office/word/2010/wordprocessingShape">
                    <wps:wsp>
                      <wps:cNvSpPr/>
                      <wps:spPr>
                        <a:xfrm>
                          <a:off x="0" y="0"/>
                          <a:ext cx="5754240" cy="122292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15pt;margin-top:-27.4pt;width:453.05pt;height:96.2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bl>
      <w:tblPr>
        <w:tblW w:w="9029" w:type="dxa"/>
        <w:jc w:val="left"/>
        <w:tblInd w:w="0" w:type="dxa"/>
        <w:tblCellMar>
          <w:top w:w="0" w:type="dxa"/>
          <w:left w:w="108" w:type="dxa"/>
          <w:bottom w:w="0" w:type="dxa"/>
          <w:right w:w="108" w:type="dxa"/>
        </w:tblCellMar>
      </w:tblPr>
      <w:tblGrid>
        <w:gridCol w:w="9029"/>
      </w:tblGrid>
      <w:tr>
        <w:trPr/>
        <w:tc>
          <w:tcPr>
            <w:tcW w:w="9029" w:type="dxa"/>
            <w:tcBorders/>
            <w:shd w:fill="auto" w:val="clear"/>
          </w:tcPr>
          <w:p>
            <w:pPr>
              <w:pStyle w:val="Normal"/>
              <w:spacing w:lineRule="auto" w:line="240" w:before="0" w:after="0"/>
              <w:jc w:val="center"/>
              <w:rPr>
                <w:rFonts w:ascii="DejaVu Serif" w:hAnsi="DejaVu Serif"/>
              </w:rPr>
            </w:pPr>
            <w:r>
              <w:rPr/>
            </w:r>
          </w:p>
        </w:tc>
      </w:tr>
      <w:tr>
        <w:trPr/>
        <w:tc>
          <w:tcPr>
            <w:tcW w:w="9029" w:type="dxa"/>
            <w:tcBorders/>
            <w:shd w:fill="auto" w:val="clear"/>
          </w:tcPr>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drawing>
                <wp:anchor behindDoc="0" distT="0" distB="0" distL="0" distR="0" simplePos="0" locked="0" layoutInCell="1" allowOverlap="1" relativeHeight="2">
                  <wp:simplePos x="0" y="0"/>
                  <wp:positionH relativeFrom="column">
                    <wp:posOffset>73660</wp:posOffset>
                  </wp:positionH>
                  <wp:positionV relativeFrom="paragraph">
                    <wp:posOffset>148590</wp:posOffset>
                  </wp:positionV>
                  <wp:extent cx="5338445" cy="2477770"/>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5338445" cy="2477770"/>
                          </a:xfrm>
                          <a:prstGeom prst="rect">
                            <a:avLst/>
                          </a:prstGeom>
                        </pic:spPr>
                      </pic:pic>
                    </a:graphicData>
                  </a:graphic>
                </wp:anchor>
              </w:drawing>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mc:AlternateContent>
                <mc:Choice Requires="wps">
                  <w:drawing>
                    <wp:anchor behindDoc="0" distT="0" distB="0" distL="0" distR="0" simplePos="0" locked="0" layoutInCell="1" allowOverlap="1" relativeHeight="3">
                      <wp:simplePos x="0" y="0"/>
                      <wp:positionH relativeFrom="column">
                        <wp:posOffset>5278755</wp:posOffset>
                      </wp:positionH>
                      <wp:positionV relativeFrom="paragraph">
                        <wp:posOffset>35560</wp:posOffset>
                      </wp:positionV>
                      <wp:extent cx="353060" cy="178435"/>
                      <wp:effectExtent l="0" t="0" r="0" b="0"/>
                      <wp:wrapNone/>
                      <wp:docPr id="4" name="Shape1"/>
                      <a:graphic xmlns:a="http://schemas.openxmlformats.org/drawingml/2006/main">
                        <a:graphicData uri="http://schemas.microsoft.com/office/word/2010/wordprocessingShape">
                          <wps:wsp>
                            <wps:cNvSpPr/>
                            <wps:spPr>
                              <a:xfrm>
                                <a:off x="0" y="0"/>
                                <a:ext cx="352440" cy="177840"/>
                              </a:xfrm>
                              <a:prstGeom prst="rect">
                                <a:avLst/>
                              </a:prstGeom>
                              <a:noFill/>
                              <a:ln>
                                <a:noFill/>
                              </a:ln>
                            </wps:spPr>
                            <wps:style>
                              <a:lnRef idx="0"/>
                              <a:fillRef idx="0"/>
                              <a:effectRef idx="0"/>
                              <a:fontRef idx="minor"/>
                            </wps:style>
                            <wps:txb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b/>
                                      <w:bCs/>
                                      <w:color w:val="000000"/>
                                      <w:kern w:val="0"/>
                                      <w:sz w:val="24"/>
                                      <w:szCs w:val="24"/>
                                      <w:lang w:val="en-GB" w:eastAsia="ja-JP" w:bidi="ar-SA"/>
                                    </w:rPr>
                                    <w:t>®</w:t>
                                  </w:r>
                                  <w:r>
                                    <w:rPr>
                                      <w:rFonts w:eastAsia="Calibri" w:cs=""/>
                                      <w:b/>
                                      <w:bCs/>
                                      <w:color w:val="000000"/>
                                      <w:kern w:val="0"/>
                                      <w:sz w:val="20"/>
                                      <w:szCs w:val="20"/>
                                      <w:lang w:val="en-GB" w:eastAsia="ja-JP" w:bidi="ar-SA"/>
                                    </w:rPr>
                                    <w:t xml:space="preserve"> </w:t>
                                  </w:r>
                                </w:p>
                              </w:txbxContent>
                            </wps:txbx>
                            <wps:bodyPr lIns="0" rIns="0" tIns="0" bIns="0">
                              <a:spAutoFit/>
                            </wps:bodyPr>
                          </wps:wsp>
                        </a:graphicData>
                      </a:graphic>
                    </wp:anchor>
                  </w:drawing>
                </mc:Choice>
                <mc:Fallback>
                  <w:pict>
                    <v:rect id="shape_0" ID="Shape1" stroked="f" style="position:absolute;margin-left:415.65pt;margin-top:2.8pt;width:27.7pt;height:13.95pt">
                      <w10:wrap type="square"/>
                      <v:fill o:detectmouseclick="t" on="false"/>
                      <v:stroke color="#3465a4" joinstyle="round" endcap="flat"/>
                      <v:textbo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b/>
                                <w:bCs/>
                                <w:color w:val="000000"/>
                                <w:kern w:val="0"/>
                                <w:sz w:val="24"/>
                                <w:szCs w:val="24"/>
                                <w:lang w:val="en-GB" w:eastAsia="ja-JP" w:bidi="ar-SA"/>
                              </w:rPr>
                              <w:t>®</w:t>
                            </w:r>
                            <w:r>
                              <w:rPr>
                                <w:rFonts w:eastAsia="Calibri" w:cs=""/>
                                <w:b/>
                                <w:bCs/>
                                <w:color w:val="000000"/>
                                <w:kern w:val="0"/>
                                <w:sz w:val="20"/>
                                <w:szCs w:val="20"/>
                                <w:lang w:val="en-GB" w:eastAsia="ja-JP" w:bidi="ar-SA"/>
                              </w:rPr>
                              <w:t xml:space="preserve"> </w:t>
                            </w:r>
                          </w:p>
                        </w:txbxContent>
                      </v:textbox>
                    </v:rect>
                  </w:pict>
                </mc:Fallback>
              </mc:AlternateContent>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b/>
                <w:color w:val="000000"/>
                <w:sz w:val="32"/>
                <w:szCs w:val="32"/>
                <w:lang w:val="en-GB"/>
              </w:rPr>
            </w:r>
          </w:p>
        </w:tc>
      </w:tr>
      <w:tr>
        <w:trPr/>
        <w:tc>
          <w:tcPr>
            <w:tcW w:w="9029" w:type="dxa"/>
            <w:tcBorders/>
            <w:shd w:fill="auto" w:val="clear"/>
          </w:tcPr>
          <w:p>
            <w:pPr>
              <w:pStyle w:val="Normal"/>
              <w:spacing w:lineRule="auto" w:line="240" w:before="0" w:after="0"/>
              <w:jc w:val="center"/>
              <w:rPr>
                <w:rFonts w:ascii="DejaVu Serif" w:hAnsi="DejaVu Serif"/>
              </w:rPr>
            </w:pPr>
            <w:r>
              <w:rPr>
                <w:b/>
                <w:color w:val="000000"/>
                <w:sz w:val="32"/>
                <w:szCs w:val="32"/>
                <w:lang w:val="en-GB"/>
              </w:rPr>
              <w:t>GATS Security Instrument Master Terms</w:t>
            </w:r>
          </w:p>
        </w:tc>
      </w:tr>
      <w:tr>
        <w:trPr/>
        <w:tc>
          <w:tcPr>
            <w:tcW w:w="9029" w:type="dxa"/>
            <w:tcBorders/>
            <w:shd w:fill="auto" w:val="clear"/>
          </w:tcPr>
          <w:p>
            <w:pPr>
              <w:pStyle w:val="Normal"/>
              <w:spacing w:lineRule="auto" w:line="240" w:before="0" w:after="0"/>
              <w:jc w:val="center"/>
              <w:rPr>
                <w:rFonts w:ascii="DejaVu Serif" w:hAnsi="DejaVu Serif"/>
              </w:rPr>
            </w:pPr>
            <w:r>
              <w:rPr>
                <w:b/>
                <w:color w:val="000000"/>
                <w:lang w:val="en-GB"/>
              </w:rPr>
              <w:t>SINGAPORE TRUST BRANCH</w:t>
            </w:r>
          </w:p>
        </w:tc>
      </w:tr>
      <w:tr>
        <w:trPr/>
        <w:tc>
          <w:tcPr>
            <w:tcW w:w="9029" w:type="dxa"/>
            <w:tcBorders>
              <w:bottom w:val="single" w:sz="4" w:space="0" w:color="000000"/>
            </w:tcBorders>
            <w:shd w:fill="auto" w:val="clear"/>
          </w:tcPr>
          <w:p>
            <w:pPr>
              <w:pStyle w:val="Normal"/>
              <w:spacing w:lineRule="auto" w:line="240" w:before="0" w:after="0"/>
              <w:jc w:val="both"/>
              <w:rPr>
                <w:rFonts w:ascii="DejaVu Serif" w:hAnsi="DejaVu Serif"/>
                <w:lang w:val="en-GB"/>
              </w:rPr>
            </w:pPr>
            <w:r>
              <w:rPr>
                <w:lang w:val="en-GB"/>
              </w:rPr>
            </w:r>
          </w:p>
        </w:tc>
      </w:tr>
    </w:tbl>
    <w:p>
      <w:pPr>
        <w:pStyle w:val="Normal"/>
        <w:spacing w:before="0" w:after="0"/>
        <w:jc w:val="center"/>
        <w:rPr>
          <w:rFonts w:ascii="DejaVu Serif" w:hAnsi="DejaVu Serif"/>
          <w:b/>
          <w:b/>
          <w:bCs/>
          <w:sz w:val="24"/>
          <w:szCs w:val="24"/>
        </w:rPr>
      </w:pPr>
      <w:r>
        <w:rPr>
          <w:b/>
          <w:bCs/>
          <w:sz w:val="24"/>
          <w:szCs w:val="24"/>
        </w:rPr>
      </w:r>
    </w:p>
    <w:p>
      <w:pPr>
        <w:pStyle w:val="Normal"/>
        <w:spacing w:before="0" w:after="0"/>
        <w:jc w:val="center"/>
        <w:rPr/>
      </w:pPr>
      <w:r>
        <w:rPr>
          <w:b/>
          <w:bCs/>
          <w:sz w:val="24"/>
          <w:szCs w:val="24"/>
        </w:rPr>
        <w:t>*</w:t>
        <w:tab/>
        <w:t>*</w:t>
        <w:tab/>
        <w:t>*</w:t>
      </w:r>
    </w:p>
    <w:p>
      <w:pPr>
        <w:pStyle w:val="Normal"/>
        <w:spacing w:before="0" w:after="0"/>
        <w:jc w:val="left"/>
        <w:rPr>
          <w:rFonts w:ascii="DejaVu Serif" w:hAnsi="DejaVu Serif"/>
          <w:b/>
          <w:b/>
          <w:bCs/>
        </w:rPr>
      </w:pPr>
      <w:r>
        <w:rPr>
          <w:b/>
          <w:bCs/>
        </w:rPr>
      </w:r>
    </w:p>
    <w:p>
      <w:pPr>
        <w:pStyle w:val="Normal"/>
        <w:spacing w:before="0" w:after="0"/>
        <w:jc w:val="left"/>
        <w:rPr>
          <w:rFonts w:ascii="DejaVu Serif" w:hAnsi="DejaVu Serif"/>
          <w:b/>
          <w:b/>
          <w:bCs/>
        </w:rPr>
      </w:pPr>
      <w:r>
        <w:rPr>
          <w:b/>
          <w:bCs/>
        </w:rPr>
      </w:r>
    </w:p>
    <w:p>
      <w:pPr>
        <w:sectPr>
          <w:footerReference w:type="even" r:id="rId3"/>
          <w:footerReference w:type="default" r:id="rId4"/>
          <w:type w:val="nextPage"/>
          <w:pgSz w:w="11906" w:h="16838"/>
          <w:pgMar w:left="1440" w:right="1440" w:header="0" w:top="720" w:footer="432" w:bottom="490" w:gutter="0"/>
          <w:pgNumType w:fmt="decimal"/>
          <w:formProt w:val="false"/>
          <w:textDirection w:val="lrTb"/>
          <w:docGrid w:type="default" w:linePitch="100" w:charSpace="4096"/>
        </w:sectPr>
      </w:pPr>
    </w:p>
    <w:p>
      <w:pPr>
        <w:pStyle w:val="AWGNumberedList1"/>
        <w:numPr>
          <w:ilvl w:val="0"/>
          <w:numId w:val="3"/>
        </w:numPr>
        <w:jc w:val="left"/>
        <w:rPr/>
      </w:pPr>
      <w:r>
        <w:rPr/>
        <w:t>Incorporation into Security Instrument</w:t>
      </w:r>
    </w:p>
    <w:p>
      <w:pPr>
        <w:pStyle w:val="AWGBodyText1"/>
        <w:rPr>
          <w:rFonts w:ascii="DejaVu Serif" w:hAnsi="DejaVu Serif"/>
        </w:rPr>
      </w:pPr>
      <w:r>
        <w:rPr/>
        <w:t xml:space="preserve">These GATS Security Instrument Master Terms (these </w:t>
      </w:r>
      <w:r>
        <w:rPr>
          <w:b/>
        </w:rPr>
        <w:t>Master Terms</w:t>
      </w:r>
      <w:r>
        <w:rPr/>
        <w:t xml:space="preserve">) apply to </w:t>
      </w:r>
      <w:bookmarkStart w:id="2" w:name="_Hlk33710631"/>
      <w:r>
        <w:rPr/>
        <w:t>the GATS Security Instrument</w:t>
      </w:r>
      <w:bookmarkEnd w:id="2"/>
      <w:r>
        <w:rPr/>
        <w:t xml:space="preserve"> into which they are expressly incorporated.</w:t>
      </w:r>
    </w:p>
    <w:p>
      <w:pPr>
        <w:pStyle w:val="AWGNumberedList1"/>
        <w:numPr>
          <w:ilvl w:val="0"/>
          <w:numId w:val="3"/>
        </w:numPr>
        <w:jc w:val="left"/>
        <w:rPr>
          <w:rFonts w:ascii="DejaVu Serif" w:hAnsi="DejaVu Serif"/>
        </w:rPr>
      </w:pPr>
      <w:r>
        <w:rPr/>
        <w:t>Definitions and Interpretation</w:t>
      </w:r>
    </w:p>
    <w:p>
      <w:pPr>
        <w:pStyle w:val="AWGBodyText1"/>
        <w:rPr>
          <w:rFonts w:ascii="DejaVu Serif" w:hAnsi="DejaVu Serif"/>
        </w:rPr>
      </w:pPr>
      <w:r>
        <w:rPr/>
        <w:t>Unless otherwise defined in the terms of these Master Terms, capitalised terms used in these Master Terms have the meaning given to them in the GATS Security Instrument. The following definitions and rules of interpretation apply to these Master Terms and the GATS Security Instrument, unless the contrary intention appears.</w:t>
      </w:r>
    </w:p>
    <w:p>
      <w:pPr>
        <w:pStyle w:val="AWGNumberedList2"/>
        <w:numPr>
          <w:ilvl w:val="1"/>
          <w:numId w:val="3"/>
        </w:numPr>
        <w:rPr>
          <w:rFonts w:ascii="DejaVu Serif" w:hAnsi="DejaVu Serif"/>
        </w:rPr>
      </w:pPr>
      <w:r>
        <w:rPr/>
        <w:t>Definitions</w:t>
      </w:r>
    </w:p>
    <w:p>
      <w:pPr>
        <w:pStyle w:val="AWGDef"/>
        <w:numPr>
          <w:ilvl w:val="0"/>
          <w:numId w:val="2"/>
        </w:numPr>
        <w:rPr>
          <w:rFonts w:ascii="DejaVu Serif" w:hAnsi="DejaVu Serif"/>
        </w:rPr>
      </w:pPr>
      <w:r>
        <w:rPr>
          <w:b/>
          <w:lang w:val="en-GB"/>
        </w:rPr>
        <w:t xml:space="preserve">Act </w:t>
      </w:r>
      <w:r>
        <w:rPr>
          <w:lang w:val="en-GB"/>
        </w:rPr>
        <w:t xml:space="preserve">means the Conveyancing and Law of Property Act (Chapter 61) of Singapore. </w:t>
      </w:r>
    </w:p>
    <w:p>
      <w:pPr>
        <w:pStyle w:val="AWGDef"/>
        <w:numPr>
          <w:ilvl w:val="0"/>
          <w:numId w:val="2"/>
        </w:numPr>
        <w:rPr>
          <w:rFonts w:ascii="DejaVu Serif" w:hAnsi="DejaVu Serif"/>
        </w:rPr>
      </w:pPr>
      <w:r>
        <w:rPr>
          <w:b/>
          <w:lang w:val="en-GB"/>
        </w:rPr>
        <w:t>Aircraft Equipment</w:t>
      </w:r>
      <w:r>
        <w:rPr>
          <w:lang w:val="en-GB"/>
        </w:rPr>
        <w:t xml:space="preserve"> has the meaning given to such term in the GATS Trust Instrument.</w:t>
      </w:r>
    </w:p>
    <w:p>
      <w:pPr>
        <w:pStyle w:val="AWGDef"/>
        <w:numPr>
          <w:ilvl w:val="0"/>
          <w:numId w:val="2"/>
        </w:numPr>
        <w:rPr>
          <w:rFonts w:ascii="DejaVu Serif" w:hAnsi="DejaVu Serif"/>
        </w:rPr>
      </w:pPr>
      <w:r>
        <w:rPr>
          <w:b/>
          <w:lang w:val="en-GB"/>
        </w:rPr>
        <w:t>Aviation Authority</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Beneficiary</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Borrower Party</w:t>
      </w:r>
      <w:r>
        <w:rPr>
          <w:lang w:val="en-GB"/>
        </w:rPr>
        <w:t xml:space="preserve"> means the Principal Borrower Party, the Trustee, the Beneficiary and each affiliate of each such person.</w:t>
      </w:r>
    </w:p>
    <w:p>
      <w:pPr>
        <w:pStyle w:val="AWGDef"/>
        <w:numPr>
          <w:ilvl w:val="0"/>
          <w:numId w:val="2"/>
        </w:numPr>
        <w:rPr>
          <w:rFonts w:ascii="DejaVu Serif" w:hAnsi="DejaVu Serif"/>
        </w:rPr>
      </w:pPr>
      <w:r>
        <w:rPr>
          <w:b/>
        </w:rPr>
        <w:t>Business Day</w:t>
      </w:r>
      <w:r>
        <w:rPr/>
        <w:t xml:space="preserve"> means a day, other than a Saturday or Sunday, on which banks are open in New York City, New York, and Singapore.</w:t>
      </w:r>
    </w:p>
    <w:p>
      <w:pPr>
        <w:pStyle w:val="AWGDef"/>
        <w:numPr>
          <w:ilvl w:val="0"/>
          <w:numId w:val="2"/>
        </w:numPr>
        <w:rPr>
          <w:rFonts w:ascii="DejaVu Serif" w:hAnsi="DejaVu Serif"/>
        </w:rPr>
      </w:pPr>
      <w:r>
        <w:rPr>
          <w:b/>
          <w:lang w:val="en-GB"/>
        </w:rPr>
        <w:t>Collateral</w:t>
      </w:r>
      <w:r>
        <w:rPr>
          <w:lang w:val="en-GB"/>
        </w:rPr>
        <w:t xml:space="preserve"> has the meaning given to such term in the GATS Security Instrument.</w:t>
      </w:r>
    </w:p>
    <w:p>
      <w:pPr>
        <w:pStyle w:val="AWGDef"/>
        <w:numPr>
          <w:ilvl w:val="0"/>
          <w:numId w:val="2"/>
        </w:numPr>
        <w:rPr/>
      </w:pPr>
      <w:r>
        <w:rPr>
          <w:b/>
          <w:lang w:val="en-GB"/>
        </w:rPr>
        <w:t>Delegate</w:t>
      </w:r>
      <w:r>
        <w:rPr>
          <w:lang w:val="en-GB"/>
        </w:rPr>
        <w:t xml:space="preserve"> means any person appointed by the Secured Party or any Receiver appointed pursuant to the provisions of Section </w:t>
      </w:r>
      <w:r>
        <w:rPr/>
        <w:fldChar w:fldCharType="begin"/>
      </w:r>
      <w:r>
        <w:rPr/>
        <w:instrText> REF _Ref32351346 \r \h </w:instrText>
      </w:r>
      <w:r>
        <w:rPr/>
        <w:fldChar w:fldCharType="separate"/>
      </w:r>
      <w:r>
        <w:rPr/>
        <w:t>10.5</w:t>
      </w:r>
      <w:r>
        <w:rPr/>
        <w:fldChar w:fldCharType="end"/>
      </w:r>
      <w:r>
        <w:rPr>
          <w:lang w:val="en-GB"/>
        </w:rPr>
        <w:t xml:space="preserve">. </w:t>
      </w:r>
    </w:p>
    <w:p>
      <w:pPr>
        <w:pStyle w:val="AWGDef"/>
        <w:numPr>
          <w:ilvl w:val="0"/>
          <w:numId w:val="2"/>
        </w:numPr>
        <w:rPr>
          <w:rFonts w:ascii="DejaVu Serif" w:hAnsi="DejaVu Serif"/>
        </w:rPr>
      </w:pPr>
      <w:r>
        <w:rPr>
          <w:b/>
          <w:lang w:val="en-GB"/>
        </w:rPr>
        <w:t>Disposition</w:t>
      </w:r>
      <w:r>
        <w:rPr>
          <w:lang w:val="en-GB"/>
        </w:rPr>
        <w:t xml:space="preserve"> means sale, assignment, transfer or other disposition of any kind whatsoever, and </w:t>
      </w:r>
      <w:r>
        <w:rPr>
          <w:b/>
          <w:lang w:val="en-GB"/>
        </w:rPr>
        <w:t>Dispose</w:t>
      </w:r>
      <w:r>
        <w:rPr>
          <w:lang w:val="en-GB"/>
        </w:rPr>
        <w:t xml:space="preserve"> shall be construed accordingly.</w:t>
      </w:r>
    </w:p>
    <w:p>
      <w:pPr>
        <w:pStyle w:val="AWGDef"/>
        <w:numPr>
          <w:ilvl w:val="0"/>
          <w:numId w:val="2"/>
        </w:numPr>
        <w:rPr>
          <w:rFonts w:ascii="DejaVu Serif" w:hAnsi="DejaVu Serif"/>
        </w:rPr>
      </w:pPr>
      <w:r>
        <w:rPr>
          <w:b/>
        </w:rPr>
        <w:t>Dispute</w:t>
      </w:r>
      <w:r>
        <w:rPr/>
        <w:t xml:space="preserve"> means any suit, action, proceedings and/or any dispute or difference which may arise out of or in connection with or which may relate in any way to these Master Terms or a GATS Security Document (including in each case, a dispute regarding the existence,</w:t>
      </w:r>
    </w:p>
    <w:p>
      <w:pPr>
        <w:sectPr>
          <w:type w:val="continuous"/>
          <w:pgSz w:w="11906" w:h="16838"/>
          <w:pgMar w:left="1440" w:right="1440" w:header="0" w:top="720" w:footer="432" w:bottom="490" w:gutter="0"/>
          <w:cols w:num="2" w:space="288" w:equalWidth="true" w:sep="false"/>
          <w:formProt w:val="false"/>
          <w:textDirection w:val="lrTb"/>
          <w:docGrid w:type="default" w:linePitch="100" w:charSpace="4096"/>
        </w:sectPr>
      </w:pPr>
    </w:p>
    <w:p>
      <w:pPr>
        <w:pStyle w:val="AWGDef"/>
        <w:numPr>
          <w:ilvl w:val="0"/>
          <w:numId w:val="2"/>
        </w:numPr>
        <w:rPr>
          <w:rFonts w:ascii="DejaVu Serif" w:hAnsi="DejaVu Serif"/>
        </w:rPr>
      </w:pPr>
      <w:r>
        <w:rPr/>
        <w:t>validity or termination thereof) or any dispute arising out of any non-contractual obligations of any nature arising between the parties or any of them</w:t>
      </w:r>
      <w:r>
        <w:rPr>
          <w:lang w:val="en-GB"/>
        </w:rPr>
        <w:t xml:space="preserve">. </w:t>
      </w:r>
    </w:p>
    <w:p>
      <w:pPr>
        <w:pStyle w:val="AWGDef"/>
        <w:numPr>
          <w:ilvl w:val="0"/>
          <w:numId w:val="2"/>
        </w:numPr>
        <w:rPr>
          <w:rFonts w:ascii="DejaVu Serif" w:hAnsi="DejaVu Serif"/>
        </w:rPr>
      </w:pPr>
      <w:r>
        <w:rPr>
          <w:b/>
          <w:lang w:val="en-GB"/>
        </w:rPr>
        <w:t>Event of Default</w:t>
      </w:r>
      <w:r>
        <w:rPr>
          <w:lang w:val="en-GB"/>
        </w:rPr>
        <w:t xml:space="preserve"> means an ‘Event of Default’, ‘Termination Event’ or such other term having equivalent meaning as defined in the Principal Finance Document or the Principal Security Agreement or, if (and only if) no such term is so defined:</w:t>
      </w:r>
    </w:p>
    <w:p>
      <w:pPr>
        <w:pStyle w:val="AWGDefPara"/>
        <w:numPr>
          <w:ilvl w:val="1"/>
          <w:numId w:val="2"/>
        </w:numPr>
        <w:rPr>
          <w:rFonts w:ascii="DejaVu Serif" w:hAnsi="DejaVu Serif"/>
        </w:rPr>
      </w:pPr>
      <w:r>
        <w:rPr>
          <w:lang w:val="en-GB"/>
        </w:rPr>
        <w:t>any event which, by the express terms of the Finance Documents entitles any Finance Party to accelerate any debt owed to it or any other Finance Party under the Finance Documents; or</w:t>
      </w:r>
    </w:p>
    <w:p>
      <w:pPr>
        <w:pStyle w:val="AWGDefPara"/>
        <w:numPr>
          <w:ilvl w:val="1"/>
          <w:numId w:val="2"/>
        </w:numPr>
        <w:rPr>
          <w:rFonts w:ascii="DejaVu Serif" w:hAnsi="DejaVu Serif"/>
        </w:rPr>
      </w:pPr>
      <w:r>
        <w:rPr>
          <w:lang w:val="en-GB"/>
        </w:rPr>
        <w:t>any event pursuant to which the Security Interest granted by the Principal Security Agreement becomes enforceable.</w:t>
      </w:r>
    </w:p>
    <w:p>
      <w:pPr>
        <w:pStyle w:val="AWGDef"/>
        <w:numPr>
          <w:ilvl w:val="0"/>
          <w:numId w:val="2"/>
        </w:numPr>
        <w:rPr>
          <w:rFonts w:ascii="DejaVu Serif" w:hAnsi="DejaVu Serif"/>
        </w:rPr>
      </w:pPr>
      <w:r>
        <w:rPr>
          <w:b/>
          <w:lang w:val="en-GB"/>
        </w:rPr>
        <w:t>Finance Documents</w:t>
      </w:r>
      <w:r>
        <w:rPr>
          <w:lang w:val="en-GB"/>
        </w:rPr>
        <w:t xml:space="preserve"> means:</w:t>
      </w:r>
    </w:p>
    <w:p>
      <w:pPr>
        <w:pStyle w:val="AWGDefPara"/>
        <w:numPr>
          <w:ilvl w:val="1"/>
          <w:numId w:val="5"/>
        </w:numPr>
        <w:rPr>
          <w:rFonts w:ascii="DejaVu Serif" w:hAnsi="DejaVu Serif"/>
        </w:rPr>
      </w:pPr>
      <w:r>
        <w:rPr>
          <w:lang w:val="en-GB"/>
        </w:rPr>
        <w:t>each GATS Security Document;</w:t>
      </w:r>
    </w:p>
    <w:p>
      <w:pPr>
        <w:pStyle w:val="AWGDefPara"/>
        <w:numPr>
          <w:ilvl w:val="1"/>
          <w:numId w:val="5"/>
        </w:numPr>
        <w:rPr>
          <w:rFonts w:ascii="DejaVu Serif" w:hAnsi="DejaVu Serif"/>
        </w:rPr>
      </w:pPr>
      <w:r>
        <w:rPr>
          <w:lang w:val="en-GB"/>
        </w:rPr>
        <w:t>the Principal Finance Document;</w:t>
      </w:r>
    </w:p>
    <w:p>
      <w:pPr>
        <w:pStyle w:val="AWGDefPara"/>
        <w:numPr>
          <w:ilvl w:val="1"/>
          <w:numId w:val="5"/>
        </w:numPr>
        <w:rPr>
          <w:rFonts w:ascii="DejaVu Serif" w:hAnsi="DejaVu Serif"/>
        </w:rPr>
      </w:pPr>
      <w:r>
        <w:rPr>
          <w:lang w:val="en-GB"/>
        </w:rPr>
        <w:t>the Principal Security Agreement, if any; and</w:t>
      </w:r>
    </w:p>
    <w:p>
      <w:pPr>
        <w:pStyle w:val="AWGDefPara"/>
        <w:numPr>
          <w:ilvl w:val="1"/>
          <w:numId w:val="5"/>
        </w:numPr>
        <w:rPr>
          <w:rFonts w:ascii="DejaVu Serif" w:hAnsi="DejaVu Serif"/>
        </w:rPr>
      </w:pPr>
      <w:r>
        <w:rPr>
          <w:lang w:val="en-GB"/>
        </w:rPr>
        <w:t>each other document identified as a ‘Finance Document’ in the Principal Finance Document or the Principal Security Agreement for the purposes of the GATS Security Documents and the GATS Trust Documents.</w:t>
      </w:r>
    </w:p>
    <w:p>
      <w:pPr>
        <w:pStyle w:val="AWGDef"/>
        <w:numPr>
          <w:ilvl w:val="0"/>
          <w:numId w:val="2"/>
        </w:numPr>
        <w:rPr>
          <w:rFonts w:ascii="DejaVu Serif" w:hAnsi="DejaVu Serif"/>
        </w:rPr>
      </w:pPr>
      <w:r>
        <w:rPr>
          <w:b/>
          <w:lang w:val="en-GB"/>
        </w:rPr>
        <w:t>Finance Party</w:t>
      </w:r>
      <w:r>
        <w:rPr>
          <w:lang w:val="en-GB"/>
        </w:rPr>
        <w:t xml:space="preserve"> means: </w:t>
      </w:r>
    </w:p>
    <w:p>
      <w:pPr>
        <w:pStyle w:val="AWGDefPara"/>
        <w:numPr>
          <w:ilvl w:val="1"/>
          <w:numId w:val="2"/>
        </w:numPr>
        <w:rPr>
          <w:rFonts w:ascii="DejaVu Serif" w:hAnsi="DejaVu Serif"/>
        </w:rPr>
      </w:pPr>
      <w:r>
        <w:rPr>
          <w:lang w:val="en-GB"/>
        </w:rPr>
        <w:t>the Secured Party; and</w:t>
      </w:r>
    </w:p>
    <w:p>
      <w:pPr>
        <w:pStyle w:val="AWGDefPara"/>
        <w:numPr>
          <w:ilvl w:val="1"/>
          <w:numId w:val="2"/>
        </w:numPr>
        <w:rPr>
          <w:rFonts w:ascii="DejaVu Serif" w:hAnsi="DejaVu Serif"/>
        </w:rPr>
      </w:pPr>
      <w:r>
        <w:rPr>
          <w:lang w:val="en-GB"/>
        </w:rPr>
        <w:t>any other person identified in the Principal Finance Document or the Principal Security Agreement as a ‘Finance Party’ for the purposes of the GATS Security Documents and the GATS Trust Documents.</w:t>
      </w:r>
    </w:p>
    <w:p>
      <w:pPr>
        <w:pStyle w:val="AWGDef"/>
        <w:numPr>
          <w:ilvl w:val="0"/>
          <w:numId w:val="2"/>
        </w:numPr>
        <w:rPr>
          <w:rFonts w:ascii="DejaVu Serif" w:hAnsi="DejaVu Serif"/>
        </w:rPr>
      </w:pPr>
      <w:r>
        <w:rPr>
          <w:b/>
          <w:lang w:val="en-GB"/>
        </w:rPr>
        <w:t>GATS Amendment Instrument</w:t>
      </w:r>
      <w:r>
        <w:rPr>
          <w:lang w:val="en-GB"/>
        </w:rPr>
        <w:t xml:space="preserve"> means any instrument:</w:t>
      </w:r>
    </w:p>
    <w:p>
      <w:pPr>
        <w:pStyle w:val="AWGDefPara"/>
        <w:numPr>
          <w:ilvl w:val="1"/>
          <w:numId w:val="2"/>
        </w:numPr>
        <w:rPr>
          <w:rFonts w:ascii="DejaVu Serif" w:hAnsi="DejaVu Serif"/>
        </w:rPr>
      </w:pPr>
      <w:r>
        <w:rPr>
          <w:lang w:val="en-GB"/>
        </w:rPr>
        <w:t>pursuant to which:</w:t>
      </w:r>
    </w:p>
    <w:p>
      <w:pPr>
        <w:pStyle w:val="AWGDefPara"/>
        <w:numPr>
          <w:ilvl w:val="2"/>
          <w:numId w:val="2"/>
        </w:numPr>
        <w:tabs>
          <w:tab w:val="clear" w:pos="720"/>
          <w:tab w:val="left" w:pos="900" w:leader="none"/>
        </w:tabs>
        <w:ind w:left="900" w:right="0" w:hanging="450"/>
        <w:rPr>
          <w:rFonts w:ascii="DejaVu Serif" w:hAnsi="DejaVu Serif"/>
        </w:rPr>
      </w:pPr>
      <w:r>
        <w:rPr>
          <w:lang w:val="en-GB"/>
        </w:rPr>
        <w:t>the parties agree to effect a Permitted GATS Amendment relating to the GATS Security Instrument; or</w:t>
      </w:r>
    </w:p>
    <w:p>
      <w:pPr>
        <w:pStyle w:val="AWGDefPara"/>
        <w:numPr>
          <w:ilvl w:val="2"/>
          <w:numId w:val="2"/>
        </w:numPr>
        <w:tabs>
          <w:tab w:val="clear" w:pos="720"/>
          <w:tab w:val="left" w:pos="900" w:leader="none"/>
        </w:tabs>
        <w:ind w:left="900" w:right="0" w:hanging="450"/>
        <w:rPr>
          <w:rFonts w:ascii="DejaVu Serif" w:hAnsi="DejaVu Serif"/>
        </w:rPr>
      </w:pPr>
      <w:r>
        <w:rPr>
          <w:lang w:val="en-GB"/>
        </w:rPr>
        <w:t>the Secured Party consents to a ‘Permitted GATS Amendment’ as defined in and relating to the GATS Trust Instrument,</w:t>
      </w:r>
    </w:p>
    <w:p>
      <w:pPr>
        <w:pStyle w:val="AWGBodyText1"/>
        <w:rPr>
          <w:rFonts w:ascii="DejaVu Serif" w:hAnsi="DejaVu Serif"/>
        </w:rPr>
      </w:pPr>
      <w:r>
        <w:rPr/>
        <w:t>executed and delivered by the Beneficiary, the Secured Party and the Trustee;</w:t>
      </w:r>
    </w:p>
    <w:p>
      <w:pPr>
        <w:pStyle w:val="AWGDefPara"/>
        <w:numPr>
          <w:ilvl w:val="1"/>
          <w:numId w:val="2"/>
        </w:numPr>
        <w:rPr>
          <w:rFonts w:ascii="DejaVu Serif" w:hAnsi="DejaVu Serif"/>
        </w:rPr>
      </w:pPr>
      <w:r>
        <w:rPr>
          <w:lang w:val="en-GB"/>
        </w:rPr>
        <w:t>which is in the applicable GATS Form and is entered in the GATS e-Ledger in accordance with the GATS e-Terms; and</w:t>
      </w:r>
    </w:p>
    <w:p>
      <w:pPr>
        <w:pStyle w:val="AWGDefPara"/>
        <w:numPr>
          <w:ilvl w:val="1"/>
          <w:numId w:val="2"/>
        </w:numPr>
        <w:rPr>
          <w:rFonts w:ascii="DejaVu Serif" w:hAnsi="DejaVu Serif"/>
        </w:rPr>
      </w:pPr>
      <w:r>
        <w:rPr>
          <w:lang w:val="en-GB"/>
        </w:rPr>
        <w:t>which is more particularly described in schedule 4 (</w:t>
      </w:r>
      <w:r>
        <w:rPr>
          <w:i/>
          <w:lang w:val="en-GB"/>
        </w:rPr>
        <w:t>Description of GATS Security Documents</w:t>
      </w:r>
      <w:r>
        <w:rPr>
          <w:lang w:val="en-GB"/>
        </w:rPr>
        <w:t>) to the GATS Security Instrument.</w:t>
      </w:r>
    </w:p>
    <w:p>
      <w:pPr>
        <w:pStyle w:val="AWGDef"/>
        <w:numPr>
          <w:ilvl w:val="0"/>
          <w:numId w:val="2"/>
        </w:numPr>
        <w:rPr>
          <w:rFonts w:ascii="DejaVu Serif" w:hAnsi="DejaVu Serif"/>
        </w:rPr>
      </w:pPr>
      <w:r>
        <w:rPr>
          <w:b/>
          <w:lang w:val="en-GB"/>
        </w:rPr>
        <w:t>GATS e-Ledger</w:t>
      </w:r>
      <w:r>
        <w:rPr>
          <w:lang w:val="en-GB"/>
        </w:rPr>
        <w:t xml:space="preserve"> means the computerised system established and maintained for the purposes of GATS and accessible through the GATS Platform.</w:t>
      </w:r>
    </w:p>
    <w:p>
      <w:pPr>
        <w:pStyle w:val="AWGDef"/>
        <w:numPr>
          <w:ilvl w:val="0"/>
          <w:numId w:val="2"/>
        </w:numPr>
        <w:rPr>
          <w:rFonts w:ascii="DejaVu Serif" w:hAnsi="DejaVu Serif"/>
        </w:rPr>
      </w:pPr>
      <w:r>
        <w:rPr>
          <w:b/>
          <w:lang w:val="en-GB"/>
        </w:rPr>
        <w:t>GATS e-Terms</w:t>
      </w:r>
      <w:r>
        <w:rPr>
          <w:lang w:val="en-GB"/>
        </w:rPr>
        <w:t xml:space="preserve"> means the e-terms for participation in GATS as in effect at the date of the GATS Security Instrument which can be accessed on the GATS Platform.</w:t>
      </w:r>
    </w:p>
    <w:p>
      <w:pPr>
        <w:pStyle w:val="AWGDef"/>
        <w:numPr>
          <w:ilvl w:val="0"/>
          <w:numId w:val="2"/>
        </w:numPr>
        <w:rPr>
          <w:rFonts w:ascii="DejaVu Serif" w:hAnsi="DejaVu Serif"/>
        </w:rPr>
      </w:pPr>
      <w:r>
        <w:rPr>
          <w:b/>
          <w:lang w:val="en-GB"/>
        </w:rPr>
        <w:t>GATS Forms</w:t>
      </w:r>
      <w:r>
        <w:rPr>
          <w:lang w:val="en-GB"/>
        </w:rPr>
        <w:t xml:space="preserve"> means the GATS forms of trust, transfer and security related documentation for the Singapore Trust Branch substantially in the forms marked or described from time to time as the ‘GATS Forms’ or ‘forms of GATS Documents’ on the GATS Platform.</w:t>
      </w:r>
    </w:p>
    <w:p>
      <w:pPr>
        <w:pStyle w:val="AWGDef"/>
        <w:numPr>
          <w:ilvl w:val="0"/>
          <w:numId w:val="2"/>
        </w:numPr>
        <w:rPr>
          <w:rFonts w:ascii="DejaVu Serif" w:hAnsi="DejaVu Serif"/>
        </w:rPr>
      </w:pPr>
      <w:r>
        <w:rPr>
          <w:b/>
          <w:lang w:val="en-GB"/>
        </w:rPr>
        <w:t>GATS Participant</w:t>
      </w:r>
      <w:r>
        <w:rPr>
          <w:lang w:val="en-GB"/>
        </w:rPr>
        <w:t xml:space="preserve"> means any person who has agreed to be bound by the GATS e-Terms and who is, under the GATS e-Terms, a ‘GATS Participant’.</w:t>
      </w:r>
    </w:p>
    <w:p>
      <w:pPr>
        <w:pStyle w:val="AWGDef"/>
        <w:numPr>
          <w:ilvl w:val="0"/>
          <w:numId w:val="2"/>
        </w:numPr>
        <w:rPr>
          <w:rFonts w:ascii="DejaVu Serif" w:hAnsi="DejaVu Serif"/>
        </w:rPr>
      </w:pPr>
      <w:r>
        <w:rPr>
          <w:b/>
          <w:lang w:val="en-GB"/>
        </w:rPr>
        <w:t>GATS Platform</w:t>
      </w:r>
      <w:r>
        <w:rPr>
          <w:lang w:val="en-GB"/>
        </w:rPr>
        <w:t xml:space="preserve"> means the GATS website and associated functionality, which can be accessed at https://e-gats.aero/.</w:t>
      </w:r>
    </w:p>
    <w:p>
      <w:pPr>
        <w:pStyle w:val="AWGDef"/>
        <w:numPr>
          <w:ilvl w:val="0"/>
          <w:numId w:val="2"/>
        </w:numPr>
        <w:rPr>
          <w:rFonts w:ascii="DejaVu Serif" w:hAnsi="DejaVu Serif"/>
        </w:rPr>
      </w:pPr>
      <w:r>
        <w:rPr>
          <w:b/>
          <w:lang w:val="en-GB"/>
        </w:rPr>
        <w:t>GATS Release and Discharge</w:t>
      </w:r>
      <w:r>
        <w:rPr>
          <w:lang w:val="en-GB"/>
        </w:rPr>
        <w:t xml:space="preserve"> means any instrument executed and delivered by the Secured Party pursuant to which, inter alia, the Secured Party releases, discharges and reassigns the Security Interest granted pursuant to the GATS Security Instrument, in the applicable GATS Form and entered in the GATS e-Ledger in accordance with the GATS e-Terms.</w:t>
      </w:r>
    </w:p>
    <w:p>
      <w:pPr>
        <w:pStyle w:val="AWGDef"/>
        <w:numPr>
          <w:ilvl w:val="0"/>
          <w:numId w:val="2"/>
        </w:numPr>
        <w:rPr>
          <w:rFonts w:ascii="DejaVu Serif" w:hAnsi="DejaVu Serif"/>
        </w:rPr>
      </w:pPr>
      <w:r>
        <w:rPr>
          <w:b/>
          <w:lang w:val="en-GB"/>
        </w:rPr>
        <w:t>GATS Security Documents</w:t>
      </w:r>
      <w:r>
        <w:rPr>
          <w:lang w:val="en-GB"/>
        </w:rPr>
        <w:t xml:space="preserve"> means:</w:t>
      </w:r>
    </w:p>
    <w:p>
      <w:pPr>
        <w:pStyle w:val="AWGDefPara"/>
        <w:numPr>
          <w:ilvl w:val="1"/>
          <w:numId w:val="6"/>
        </w:numPr>
        <w:rPr>
          <w:rFonts w:ascii="DejaVu Serif" w:hAnsi="DejaVu Serif"/>
        </w:rPr>
      </w:pPr>
      <w:r>
        <w:rPr>
          <w:lang w:val="en-GB"/>
        </w:rPr>
        <w:t>the GATS Security Instrument;</w:t>
      </w:r>
    </w:p>
    <w:p>
      <w:pPr>
        <w:pStyle w:val="AWGDefPara"/>
        <w:numPr>
          <w:ilvl w:val="1"/>
          <w:numId w:val="6"/>
        </w:numPr>
        <w:rPr>
          <w:rFonts w:ascii="DejaVu Serif" w:hAnsi="DejaVu Serif"/>
        </w:rPr>
      </w:pPr>
      <w:r>
        <w:rPr>
          <w:lang w:val="en-GB"/>
        </w:rPr>
        <w:t>each GATS Security Transfer Instrument, if any;</w:t>
      </w:r>
    </w:p>
    <w:p>
      <w:pPr>
        <w:pStyle w:val="AWGDefPara"/>
        <w:numPr>
          <w:ilvl w:val="1"/>
          <w:numId w:val="6"/>
        </w:numPr>
        <w:rPr>
          <w:rFonts w:ascii="DejaVu Serif" w:hAnsi="DejaVu Serif"/>
        </w:rPr>
      </w:pPr>
      <w:r>
        <w:rPr>
          <w:lang w:val="en-GB"/>
        </w:rPr>
        <w:t>each GATS Amendment Instrument, if any; and</w:t>
      </w:r>
    </w:p>
    <w:p>
      <w:pPr>
        <w:pStyle w:val="AWGDefPara"/>
        <w:numPr>
          <w:ilvl w:val="1"/>
          <w:numId w:val="6"/>
        </w:numPr>
        <w:rPr>
          <w:rFonts w:ascii="DejaVu Serif" w:hAnsi="DejaVu Serif"/>
        </w:rPr>
      </w:pPr>
      <w:r>
        <w:rPr>
          <w:lang w:val="en-GB"/>
        </w:rPr>
        <w:t>any GATS Release and Discharge.,</w:t>
      </w:r>
    </w:p>
    <w:p>
      <w:pPr>
        <w:pStyle w:val="AWGDef"/>
        <w:numPr>
          <w:ilvl w:val="0"/>
          <w:numId w:val="2"/>
        </w:numPr>
        <w:rPr>
          <w:rFonts w:ascii="DejaVu Serif" w:hAnsi="DejaVu Serif"/>
        </w:rPr>
      </w:pPr>
      <w:r>
        <w:rPr>
          <w:b/>
          <w:lang w:val="en-GB"/>
        </w:rPr>
        <w:t>GATS Security Instrument</w:t>
      </w:r>
      <w:r>
        <w:rPr>
          <w:lang w:val="en-GB"/>
        </w:rPr>
        <w:t xml:space="preserve"> means the GATS security instrument into which these Master Terms are expressly incorporated, </w:t>
      </w:r>
      <w:bookmarkStart w:id="3" w:name="_Hlk25312128"/>
      <w:r>
        <w:rPr>
          <w:lang w:val="en-GB"/>
        </w:rPr>
        <w:t>and marked with the same ‘GATS Transaction ID’ as these Master Terms</w:t>
      </w:r>
      <w:bookmarkEnd w:id="3"/>
      <w:r>
        <w:rPr>
          <w:lang w:val="en-GB"/>
        </w:rPr>
        <w:t>.</w:t>
      </w:r>
    </w:p>
    <w:p>
      <w:pPr>
        <w:pStyle w:val="AWGDef"/>
        <w:numPr>
          <w:ilvl w:val="0"/>
          <w:numId w:val="2"/>
        </w:numPr>
        <w:rPr>
          <w:rFonts w:ascii="DejaVu Serif" w:hAnsi="DejaVu Serif"/>
        </w:rPr>
      </w:pPr>
      <w:r>
        <w:rPr>
          <w:b/>
          <w:lang w:val="en-GB"/>
        </w:rPr>
        <w:t>GATS Security Transfer Instrument</w:t>
      </w:r>
      <w:r>
        <w:rPr>
          <w:lang w:val="en-GB"/>
        </w:rPr>
        <w:t xml:space="preserve"> means any instrument:</w:t>
      </w:r>
    </w:p>
    <w:p>
      <w:pPr>
        <w:pStyle w:val="AWGDefPara"/>
        <w:numPr>
          <w:ilvl w:val="1"/>
          <w:numId w:val="7"/>
        </w:numPr>
        <w:rPr>
          <w:rFonts w:ascii="DejaVu Serif" w:hAnsi="DejaVu Serif"/>
        </w:rPr>
      </w:pPr>
      <w:r>
        <w:rPr>
          <w:lang w:val="en-GB"/>
        </w:rPr>
        <w:t>executed and delivered by the Secured Party and a New Secured Party pursuant to which the Secured Party assigns and transfers:</w:t>
      </w:r>
    </w:p>
    <w:p>
      <w:pPr>
        <w:pStyle w:val="AWGDefPara"/>
        <w:numPr>
          <w:ilvl w:val="2"/>
          <w:numId w:val="7"/>
        </w:numPr>
        <w:tabs>
          <w:tab w:val="clear" w:pos="720"/>
          <w:tab w:val="left" w:pos="1005" w:leader="none"/>
        </w:tabs>
        <w:ind w:left="990" w:right="0" w:hanging="540"/>
        <w:rPr>
          <w:rFonts w:ascii="DejaVu Serif" w:hAnsi="DejaVu Serif"/>
        </w:rPr>
      </w:pPr>
      <w:r>
        <w:rPr>
          <w:lang w:val="en-GB"/>
        </w:rPr>
        <w:t>all of its rights, title and interest in and to the Security Interest assigned, charged and granted to it pursuant to the GATS Security Instrument (or assigned and transferred to it, as applicable); and</w:t>
      </w:r>
    </w:p>
    <w:p>
      <w:pPr>
        <w:pStyle w:val="AWGDefPara"/>
        <w:numPr>
          <w:ilvl w:val="2"/>
          <w:numId w:val="7"/>
        </w:numPr>
        <w:tabs>
          <w:tab w:val="clear" w:pos="720"/>
          <w:tab w:val="left" w:pos="960" w:leader="none"/>
        </w:tabs>
        <w:ind w:left="990" w:right="0" w:hanging="540"/>
        <w:rPr>
          <w:rFonts w:ascii="DejaVu Serif" w:hAnsi="DejaVu Serif"/>
        </w:rPr>
      </w:pPr>
      <w:r>
        <w:rPr>
          <w:lang w:val="en-GB"/>
        </w:rPr>
        <w:t>all of its rights, title and interest assigned, charged or granted to it under the GATS Security Instrument to another GATS Participant;</w:t>
      </w:r>
    </w:p>
    <w:p>
      <w:pPr>
        <w:pStyle w:val="AWGDefPara"/>
        <w:numPr>
          <w:ilvl w:val="1"/>
          <w:numId w:val="7"/>
        </w:numPr>
        <w:rPr>
          <w:rFonts w:ascii="DejaVu Serif" w:hAnsi="DejaVu Serif"/>
        </w:rPr>
      </w:pPr>
      <w:r>
        <w:rPr>
          <w:lang w:val="en-GB"/>
        </w:rPr>
        <w:t>which is in the applicable GATS Form and is entered in the GATS e-Ledger in accordance with the GATS e-Terms; and</w:t>
      </w:r>
    </w:p>
    <w:p>
      <w:pPr>
        <w:pStyle w:val="AWGDefPara"/>
        <w:numPr>
          <w:ilvl w:val="1"/>
          <w:numId w:val="7"/>
        </w:numPr>
        <w:rPr>
          <w:rFonts w:ascii="DejaVu Serif" w:hAnsi="DejaVu Serif"/>
        </w:rPr>
      </w:pPr>
      <w:r>
        <w:rPr>
          <w:lang w:val="en-GB"/>
        </w:rPr>
        <w:t>which is more particularly described in schedule 4 (</w:t>
      </w:r>
      <w:r>
        <w:rPr>
          <w:i/>
          <w:lang w:val="en-GB"/>
        </w:rPr>
        <w:t>Description of GATS Security Documents</w:t>
      </w:r>
      <w:r>
        <w:rPr>
          <w:lang w:val="en-GB"/>
        </w:rPr>
        <w:t>) to the GATS Security Instrument.</w:t>
      </w:r>
    </w:p>
    <w:p>
      <w:pPr>
        <w:pStyle w:val="AWGDef"/>
        <w:numPr>
          <w:ilvl w:val="0"/>
          <w:numId w:val="2"/>
        </w:numPr>
        <w:rPr>
          <w:rFonts w:ascii="DejaVu Serif" w:hAnsi="DejaVu Serif"/>
        </w:rPr>
      </w:pPr>
      <w:r>
        <w:rPr>
          <w:b/>
          <w:lang w:val="en-GB"/>
        </w:rPr>
        <w:t>GATS Transfer Instrument</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GATS Trust</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GATS Trust Documents</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GATS Trust Instrument</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Global Aircraft Trading System</w:t>
      </w:r>
      <w:r>
        <w:rPr>
          <w:rFonts w:eastAsia="Calibri" w:cs=""/>
          <w:b/>
          <w:color w:val="000000"/>
          <w:kern w:val="0"/>
          <w:sz w:val="24"/>
          <w:szCs w:val="24"/>
          <w:vertAlign w:val="superscript"/>
          <w:lang w:val="en-GB" w:eastAsia="ja-JP" w:bidi="ar-SA"/>
        </w:rPr>
        <w:t>®</w:t>
      </w:r>
      <w:r>
        <w:rPr>
          <w:rFonts w:eastAsia="Calibri" w:cs=""/>
          <w:b/>
          <w:color w:val="000000"/>
          <w:kern w:val="0"/>
          <w:sz w:val="24"/>
          <w:szCs w:val="24"/>
          <w:lang w:val="en-GB" w:eastAsia="ja-JP" w:bidi="ar-SA"/>
        </w:rPr>
        <w:t xml:space="preserve"> </w:t>
      </w:r>
      <w:r>
        <w:rPr>
          <w:lang w:val="en-GB"/>
        </w:rPr>
        <w:t xml:space="preserve"> or </w:t>
      </w:r>
      <w:r>
        <w:rPr>
          <w:b/>
          <w:lang w:val="en-GB"/>
        </w:rPr>
        <w:t>GATS</w:t>
      </w:r>
      <w:r>
        <w:rPr>
          <w:lang w:val="en-GB"/>
        </w:rPr>
        <w:t xml:space="preserve"> means the Global Aircraft Trading System</w:t>
      </w:r>
      <w:r>
        <w:rPr>
          <w:rFonts w:eastAsia="Calibri" w:cs=""/>
          <w:b/>
          <w:color w:val="000000"/>
          <w:kern w:val="0"/>
          <w:sz w:val="24"/>
          <w:szCs w:val="24"/>
          <w:vertAlign w:val="superscript"/>
          <w:lang w:val="en-GB" w:eastAsia="ja-JP" w:bidi="ar-SA"/>
        </w:rPr>
        <w:t>®</w:t>
      </w:r>
      <w:r>
        <w:rPr>
          <w:lang w:val="en-GB"/>
        </w:rPr>
        <w:t>, as more particularly described on the GATS Platform.</w:t>
      </w:r>
    </w:p>
    <w:p>
      <w:pPr>
        <w:pStyle w:val="AWGDef"/>
        <w:numPr>
          <w:ilvl w:val="0"/>
          <w:numId w:val="2"/>
        </w:numPr>
        <w:rPr>
          <w:rFonts w:ascii="DejaVu Serif" w:hAnsi="DejaVu Serif"/>
        </w:rPr>
      </w:pPr>
      <w:r>
        <w:rPr>
          <w:b/>
          <w:lang w:val="en-GB"/>
        </w:rPr>
        <w:t>Governmental Authority</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Indebtedness</w:t>
      </w:r>
      <w:r>
        <w:rPr>
          <w:lang w:val="en-GB"/>
        </w:rPr>
        <w:t xml:space="preserve"> means ‘Indebtedness’ as defined in the Principal Finance Document or such other term having equivalent meaning as defined, or if such term is not so defined, with respect to any person at any date of determination, without duplication:</w:t>
      </w:r>
    </w:p>
    <w:p>
      <w:pPr>
        <w:pStyle w:val="AWGDefPara"/>
        <w:numPr>
          <w:ilvl w:val="1"/>
          <w:numId w:val="2"/>
        </w:numPr>
        <w:rPr>
          <w:rFonts w:ascii="DejaVu Serif" w:hAnsi="DejaVu Serif"/>
        </w:rPr>
      </w:pPr>
      <w:r>
        <w:rPr>
          <w:lang w:val="en-GB"/>
        </w:rPr>
        <w:t xml:space="preserve">all indebtedness of such person for borrowed money; </w:t>
      </w:r>
    </w:p>
    <w:p>
      <w:pPr>
        <w:pStyle w:val="AWGDefPara"/>
        <w:numPr>
          <w:ilvl w:val="1"/>
          <w:numId w:val="2"/>
        </w:numPr>
        <w:rPr>
          <w:rFonts w:ascii="DejaVu Serif" w:hAnsi="DejaVu Serif"/>
        </w:rPr>
      </w:pPr>
      <w:r>
        <w:rPr>
          <w:lang w:val="en-GB"/>
        </w:rPr>
        <w:t>all obligations of such person evidenced by bonds, debentures, notes or other similar instruments;</w:t>
      </w:r>
    </w:p>
    <w:p>
      <w:pPr>
        <w:pStyle w:val="AWGDefPara"/>
        <w:numPr>
          <w:ilvl w:val="1"/>
          <w:numId w:val="2"/>
        </w:numPr>
        <w:rPr>
          <w:rFonts w:ascii="DejaVu Serif" w:hAnsi="DejaVu Serif"/>
        </w:rPr>
      </w:pPr>
      <w:r>
        <w:rPr>
          <w:lang w:val="en-GB"/>
        </w:rPr>
        <w:t>all obligations of such person in respect of letters of credit or other similar instruments (including reimbursement obligations with respect thereto);</w:t>
      </w:r>
    </w:p>
    <w:p>
      <w:pPr>
        <w:pStyle w:val="AWGDefPara"/>
        <w:numPr>
          <w:ilvl w:val="1"/>
          <w:numId w:val="2"/>
        </w:numPr>
        <w:rPr>
          <w:rFonts w:ascii="DejaVu Serif" w:hAnsi="DejaVu Serif"/>
        </w:rPr>
      </w:pPr>
      <w:r>
        <w:rPr>
          <w:lang w:val="en-GB"/>
        </w:rPr>
        <w:t>all the obligations of such person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acquisition of such property or service;</w:t>
      </w:r>
    </w:p>
    <w:p>
      <w:pPr>
        <w:pStyle w:val="AWGDefPara"/>
        <w:numPr>
          <w:ilvl w:val="1"/>
          <w:numId w:val="2"/>
        </w:numPr>
        <w:rPr>
          <w:rFonts w:ascii="DejaVu Serif" w:hAnsi="DejaVu Serif"/>
        </w:rPr>
      </w:pPr>
      <w:r>
        <w:rPr>
          <w:lang w:val="en-GB"/>
        </w:rPr>
        <w:t>all obligations of such person under a lease of (or other agreement conveying the right to use) any property (whether real, personal or mixed) that is required to be classified and accounted for as a capital lease obligation of such person under generally accepted accounting principles in Singapore;</w:t>
      </w:r>
    </w:p>
    <w:p>
      <w:pPr>
        <w:pStyle w:val="AWGDefPara"/>
        <w:numPr>
          <w:ilvl w:val="1"/>
          <w:numId w:val="2"/>
        </w:numPr>
        <w:rPr>
          <w:rFonts w:ascii="DejaVu Serif" w:hAnsi="DejaVu Serif"/>
        </w:rPr>
      </w:pPr>
      <w:r>
        <w:rPr>
          <w:lang w:val="en-GB"/>
        </w:rPr>
        <w:t>the amount of any liability in respect of any lease, hire purchase arrangement, conditional sale, or title retention arrangement which would, in accordance with generally accepted accounting principles, standards and practices in Singapore, be treated as a balance sheet liability;</w:t>
      </w:r>
    </w:p>
    <w:p>
      <w:pPr>
        <w:pStyle w:val="AWGDefPara"/>
        <w:numPr>
          <w:ilvl w:val="1"/>
          <w:numId w:val="2"/>
        </w:numPr>
        <w:rPr>
          <w:rFonts w:ascii="DejaVu Serif" w:hAnsi="DejaVu Serif"/>
        </w:rPr>
      </w:pPr>
      <w:r>
        <w:rPr>
          <w:lang w:val="en-GB"/>
        </w:rPr>
        <w:t>all ‘Indebtedness’ of other persons secured by a lien on any asset of such person, whether or not such Indebtedness is assumed by such person; and</w:t>
      </w:r>
    </w:p>
    <w:p>
      <w:pPr>
        <w:pStyle w:val="AWGDefPara"/>
        <w:numPr>
          <w:ilvl w:val="1"/>
          <w:numId w:val="2"/>
        </w:numPr>
        <w:rPr>
          <w:rFonts w:ascii="DejaVu Serif" w:hAnsi="DejaVu Serif"/>
        </w:rPr>
      </w:pPr>
      <w:r>
        <w:rPr>
          <w:lang w:val="en-GB"/>
        </w:rPr>
        <w:t>all ‘Indebtedness’ of other persons guaranteed by such person.</w:t>
      </w:r>
    </w:p>
    <w:p>
      <w:pPr>
        <w:pStyle w:val="AWGDef"/>
        <w:numPr>
          <w:ilvl w:val="0"/>
          <w:numId w:val="2"/>
        </w:numPr>
        <w:rPr>
          <w:rFonts w:ascii="DejaVu Serif" w:hAnsi="DejaVu Serif"/>
        </w:rPr>
      </w:pPr>
      <w:r>
        <w:rPr>
          <w:b/>
          <w:lang w:val="en-GB"/>
        </w:rPr>
        <w:t>Liabilities</w:t>
      </w:r>
      <w:r>
        <w:rPr>
          <w:lang w:val="en-GB"/>
        </w:rPr>
        <w:t xml:space="preserve"> means any present or future payment or performance liabilities or obligations (actual or contingent) whether or not matured or liquidated, together with:</w:t>
      </w:r>
    </w:p>
    <w:p>
      <w:pPr>
        <w:pStyle w:val="AWGDefPara"/>
        <w:numPr>
          <w:ilvl w:val="1"/>
          <w:numId w:val="2"/>
        </w:numPr>
        <w:rPr>
          <w:rFonts w:ascii="DejaVu Serif" w:hAnsi="DejaVu Serif"/>
        </w:rPr>
      </w:pPr>
      <w:r>
        <w:rPr>
          <w:lang w:val="en-GB"/>
        </w:rPr>
        <w:t>any refinancing, novation, deferral or extension of that liability;</w:t>
      </w:r>
    </w:p>
    <w:p>
      <w:pPr>
        <w:pStyle w:val="AWGDefPara"/>
        <w:numPr>
          <w:ilvl w:val="1"/>
          <w:numId w:val="2"/>
        </w:numPr>
        <w:rPr>
          <w:rFonts w:ascii="DejaVu Serif" w:hAnsi="DejaVu Serif"/>
        </w:rPr>
      </w:pPr>
      <w:r>
        <w:rPr>
          <w:lang w:val="en-GB"/>
        </w:rPr>
        <w:t>any further advance which may be made under any agreement expressed to be supplemental to any document in respect of that liability, together with all related interest, fees and costs;</w:t>
      </w:r>
    </w:p>
    <w:p>
      <w:pPr>
        <w:pStyle w:val="AWGDefPara"/>
        <w:numPr>
          <w:ilvl w:val="1"/>
          <w:numId w:val="2"/>
        </w:numPr>
        <w:rPr>
          <w:rFonts w:ascii="DejaVu Serif" w:hAnsi="DejaVu Serif"/>
        </w:rPr>
      </w:pPr>
      <w:r>
        <w:rPr>
          <w:lang w:val="en-GB"/>
        </w:rPr>
        <w:t>any claim for damages or restitution in the event of rescission of that liability or otherwise;</w:t>
      </w:r>
    </w:p>
    <w:p>
      <w:pPr>
        <w:pStyle w:val="AWGDefPara"/>
        <w:numPr>
          <w:ilvl w:val="1"/>
          <w:numId w:val="2"/>
        </w:numPr>
        <w:rPr>
          <w:rFonts w:ascii="DejaVu Serif" w:hAnsi="DejaVu Serif"/>
        </w:rPr>
      </w:pPr>
      <w:r>
        <w:rPr>
          <w:lang w:val="en-GB"/>
        </w:rPr>
        <w:t>any claim flowing from any recovery by a payment or discharge in respect of that liability on the grounds of preference or otherwise; and</w:t>
      </w:r>
    </w:p>
    <w:p>
      <w:pPr>
        <w:pStyle w:val="AWGDefPara"/>
        <w:numPr>
          <w:ilvl w:val="1"/>
          <w:numId w:val="2"/>
        </w:numPr>
        <w:rPr>
          <w:rFonts w:ascii="DejaVu Serif" w:hAnsi="DejaVu Serif"/>
        </w:rPr>
      </w:pPr>
      <w:r>
        <w:rPr>
          <w:lang w:val="en-GB"/>
        </w:rPr>
        <w:t>any amount (such as post-insolvency interest) which would be included in any of the above but for its discharge, non-provability, unenforceability or non-allowability in any bankruptcy, examinership, administration, judicial management, insolvency or other proceedings.</w:t>
      </w:r>
    </w:p>
    <w:p>
      <w:pPr>
        <w:pStyle w:val="AWGDef"/>
        <w:numPr>
          <w:ilvl w:val="0"/>
          <w:numId w:val="2"/>
        </w:numPr>
        <w:rPr>
          <w:rFonts w:ascii="DejaVu Serif" w:hAnsi="DejaVu Serif"/>
        </w:rPr>
      </w:pPr>
      <w:r>
        <w:rPr>
          <w:b/>
          <w:lang w:val="en-GB"/>
        </w:rPr>
        <w:t>Material Action</w:t>
      </w:r>
      <w:r>
        <w:rPr>
          <w:lang w:val="en-GB"/>
        </w:rPr>
        <w:t xml:space="preserve"> means:</w:t>
      </w:r>
    </w:p>
    <w:p>
      <w:pPr>
        <w:pStyle w:val="AWGDefPara"/>
        <w:numPr>
          <w:ilvl w:val="1"/>
          <w:numId w:val="2"/>
        </w:numPr>
        <w:rPr>
          <w:rFonts w:ascii="DejaVu Serif" w:hAnsi="DejaVu Serif"/>
        </w:rPr>
      </w:pPr>
      <w:r>
        <w:rPr>
          <w:lang w:val="en-GB"/>
        </w:rPr>
        <w:t xml:space="preserve">consolidating or merging the GATS Trust with or into any person, or selling all or substantially all of the assets of the GATS Trust; </w:t>
      </w:r>
    </w:p>
    <w:p>
      <w:pPr>
        <w:pStyle w:val="AWGDefPara"/>
        <w:numPr>
          <w:ilvl w:val="1"/>
          <w:numId w:val="2"/>
        </w:numPr>
        <w:rPr>
          <w:rFonts w:ascii="DejaVu Serif" w:hAnsi="DejaVu Serif"/>
        </w:rPr>
      </w:pPr>
      <w:r>
        <w:rPr>
          <w:lang w:val="en-GB"/>
        </w:rPr>
        <w:t>instituting proceedings to have the GATS Trust be adjudicated bankrupt or insolvent, or consenting to the instituting of bankruptcy or insolvency proceedings against the GATS Trust or filing a petition seeking, or consenting to, administration, judicial management, reorganisation, examinership or relief with respect to the GATS Trust under Singapore law or other applicable law relating to bankruptcy;</w:t>
      </w:r>
    </w:p>
    <w:p>
      <w:pPr>
        <w:pStyle w:val="AWGDefPara"/>
        <w:numPr>
          <w:ilvl w:val="1"/>
          <w:numId w:val="2"/>
        </w:numPr>
        <w:rPr>
          <w:rFonts w:ascii="DejaVu Serif" w:hAnsi="DejaVu Serif"/>
        </w:rPr>
      </w:pPr>
      <w:r>
        <w:rPr>
          <w:lang w:val="en-GB"/>
        </w:rPr>
        <w:t>consenting to the appointment of a receiver, receiver and manager, judicial manager, administrator, administrative receiver, examiner, compulsory manager, liquidator, assignee, trustee, sequestrator (or other similar official) of the GATS Trust or a substantial part of the Trust Estate;</w:t>
      </w:r>
    </w:p>
    <w:p>
      <w:pPr>
        <w:pStyle w:val="AWGDefPara"/>
        <w:numPr>
          <w:ilvl w:val="1"/>
          <w:numId w:val="2"/>
        </w:numPr>
        <w:rPr>
          <w:rFonts w:ascii="DejaVu Serif" w:hAnsi="DejaVu Serif"/>
        </w:rPr>
      </w:pPr>
      <w:r>
        <w:rPr>
          <w:lang w:val="en-GB"/>
        </w:rPr>
        <w:t>making any assignment for the benefit of creditors of the GATS Trust, or admitting in writing the Trust’s inability to pay its debts generally as they become due;</w:t>
      </w:r>
    </w:p>
    <w:p>
      <w:pPr>
        <w:pStyle w:val="AWGDefPara"/>
        <w:numPr>
          <w:ilvl w:val="1"/>
          <w:numId w:val="2"/>
        </w:numPr>
        <w:rPr>
          <w:rFonts w:ascii="DejaVu Serif" w:hAnsi="DejaVu Serif"/>
        </w:rPr>
      </w:pPr>
      <w:r>
        <w:rPr>
          <w:lang w:val="en-GB"/>
        </w:rPr>
        <w:t>taking action in furtherance of any such action; or</w:t>
      </w:r>
    </w:p>
    <w:p>
      <w:pPr>
        <w:pStyle w:val="AWGDefPara"/>
        <w:numPr>
          <w:ilvl w:val="1"/>
          <w:numId w:val="2"/>
        </w:numPr>
        <w:rPr>
          <w:rFonts w:ascii="DejaVu Serif" w:hAnsi="DejaVu Serif"/>
        </w:rPr>
      </w:pPr>
      <w:r>
        <w:rPr>
          <w:lang w:val="en-GB"/>
        </w:rPr>
        <w:t>to the fullest extent permitted by law, terminating, dissolving or liquidating the GATS Trust.</w:t>
      </w:r>
    </w:p>
    <w:p>
      <w:pPr>
        <w:pStyle w:val="AWGDef"/>
        <w:numPr>
          <w:ilvl w:val="0"/>
          <w:numId w:val="2"/>
        </w:numPr>
        <w:rPr>
          <w:rFonts w:ascii="DejaVu Serif" w:hAnsi="DejaVu Serif"/>
        </w:rPr>
      </w:pPr>
      <w:r>
        <w:rPr>
          <w:b/>
          <w:lang w:val="en-GB"/>
        </w:rPr>
        <w:t>New Secured Party</w:t>
      </w:r>
      <w:r>
        <w:rPr>
          <w:lang w:val="en-GB"/>
        </w:rPr>
        <w:t xml:space="preserve"> means, in relation to an assignment by the Secured Party of all of its rights under the GATS Security Instrument, the person to whom all of such rights are or are to be assigned.</w:t>
      </w:r>
    </w:p>
    <w:p>
      <w:pPr>
        <w:pStyle w:val="AWGDef"/>
        <w:numPr>
          <w:ilvl w:val="0"/>
          <w:numId w:val="2"/>
        </w:numPr>
        <w:rPr>
          <w:rFonts w:ascii="DejaVu Serif" w:hAnsi="DejaVu Serif"/>
        </w:rPr>
      </w:pPr>
      <w:r>
        <w:rPr>
          <w:b/>
          <w:lang w:val="en-GB"/>
        </w:rPr>
        <w:t>New Trustee</w:t>
      </w:r>
      <w:r>
        <w:rPr>
          <w:lang w:val="en-GB"/>
        </w:rPr>
        <w:t xml:space="preserve"> means, in relation to an assignment and transfer by the Trustee of, inter alia, all of its Rights and Obligations under the GATS Security Instrument and the GATS Trust instrument, the person to whom all of such Rights and Obligations are or are to be assigned and transferred.</w:t>
      </w:r>
    </w:p>
    <w:p>
      <w:pPr>
        <w:pStyle w:val="AWGDef"/>
        <w:numPr>
          <w:ilvl w:val="0"/>
          <w:numId w:val="2"/>
        </w:numPr>
        <w:rPr>
          <w:rFonts w:ascii="DejaVu Serif" w:hAnsi="DejaVu Serif"/>
        </w:rPr>
      </w:pPr>
      <w:r>
        <w:rPr>
          <w:b/>
          <w:lang w:val="en-GB"/>
        </w:rPr>
        <w:t>Non-GATS Transfer</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 xml:space="preserve">Obligations </w:t>
      </w:r>
      <w:r>
        <w:rPr>
          <w:lang w:val="en-GB"/>
        </w:rPr>
        <w:t>has the meaning given to such term in (or incorporated by reference into) the GATS Trust Instrument.</w:t>
      </w:r>
    </w:p>
    <w:p>
      <w:pPr>
        <w:pStyle w:val="AWGDef"/>
        <w:numPr>
          <w:ilvl w:val="0"/>
          <w:numId w:val="2"/>
        </w:numPr>
        <w:rPr>
          <w:rFonts w:ascii="DejaVu Serif" w:hAnsi="DejaVu Serif"/>
        </w:rPr>
      </w:pPr>
      <w:r>
        <w:rPr>
          <w:b/>
          <w:lang w:val="en-GB"/>
        </w:rPr>
        <w:t>Original Secured Party</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Permitted Action</w:t>
      </w:r>
      <w:r>
        <w:rPr>
          <w:lang w:val="en-GB"/>
        </w:rPr>
        <w:t xml:space="preserve"> means </w:t>
      </w:r>
      <w:bookmarkStart w:id="4" w:name="_Hlk29979668"/>
      <w:r>
        <w:rPr>
          <w:lang w:val="en-GB"/>
        </w:rPr>
        <w:t>an action or, as the case may be, the taking of an action or the refraining from taking an action</w:t>
      </w:r>
      <w:bookmarkEnd w:id="4"/>
      <w:r>
        <w:rPr>
          <w:lang w:val="en-GB"/>
        </w:rPr>
        <w:t>:</w:t>
      </w:r>
    </w:p>
    <w:p>
      <w:pPr>
        <w:pStyle w:val="AWGDefPara"/>
        <w:numPr>
          <w:ilvl w:val="1"/>
          <w:numId w:val="2"/>
        </w:numPr>
        <w:rPr>
          <w:rFonts w:ascii="DejaVu Serif" w:hAnsi="DejaVu Serif"/>
        </w:rPr>
      </w:pPr>
      <w:r>
        <w:rPr>
          <w:lang w:val="en-GB"/>
        </w:rPr>
        <w:t>which is permitted by the terms of the Finance Documents; or</w:t>
      </w:r>
    </w:p>
    <w:p>
      <w:pPr>
        <w:pStyle w:val="AWGDefPara"/>
        <w:numPr>
          <w:ilvl w:val="1"/>
          <w:numId w:val="2"/>
        </w:numPr>
        <w:rPr>
          <w:rFonts w:ascii="DejaVu Serif" w:hAnsi="DejaVu Serif"/>
        </w:rPr>
      </w:pPr>
      <w:r>
        <w:rPr>
          <w:lang w:val="en-GB"/>
        </w:rPr>
        <w:t>in respect of which the Secured Party has given its prior written consent.</w:t>
      </w:r>
      <w:bookmarkStart w:id="5" w:name="_Hlk29979779"/>
      <w:bookmarkEnd w:id="5"/>
    </w:p>
    <w:p>
      <w:pPr>
        <w:pStyle w:val="AWGDef"/>
        <w:numPr>
          <w:ilvl w:val="0"/>
          <w:numId w:val="2"/>
        </w:numPr>
        <w:rPr>
          <w:rFonts w:ascii="DejaVu Serif" w:hAnsi="DejaVu Serif"/>
        </w:rPr>
      </w:pPr>
      <w:r>
        <w:rPr>
          <w:b/>
          <w:lang w:val="en-GB"/>
        </w:rPr>
        <w:t>Permitted GATS Amendment</w:t>
      </w:r>
      <w:r>
        <w:rPr>
          <w:lang w:val="en-GB"/>
        </w:rPr>
        <w:t xml:space="preserve"> means:</w:t>
      </w:r>
    </w:p>
    <w:p>
      <w:pPr>
        <w:pStyle w:val="AWGDefPara"/>
        <w:numPr>
          <w:ilvl w:val="1"/>
          <w:numId w:val="2"/>
        </w:numPr>
        <w:rPr>
          <w:rFonts w:ascii="DejaVu Serif" w:hAnsi="DejaVu Serif"/>
        </w:rPr>
      </w:pPr>
      <w:bookmarkStart w:id="6" w:name="_Ref25307275"/>
      <w:r>
        <w:rPr>
          <w:lang w:val="en-GB"/>
        </w:rPr>
        <w:t>any of the following amendments, in each case effected pursuant to a written instrument executed by the Trustee, the Beneficiary and the Secured Party in accordance with the procedures prescribed by the GATS Platform:</w:t>
      </w:r>
      <w:bookmarkEnd w:id="6"/>
    </w:p>
    <w:p>
      <w:pPr>
        <w:pStyle w:val="AWGDefPara"/>
        <w:numPr>
          <w:ilvl w:val="2"/>
          <w:numId w:val="2"/>
        </w:numPr>
        <w:tabs>
          <w:tab w:val="clear" w:pos="720"/>
          <w:tab w:val="left" w:pos="900" w:leader="none"/>
        </w:tabs>
        <w:ind w:left="900" w:right="0" w:hanging="450"/>
        <w:rPr>
          <w:rFonts w:ascii="DejaVu Serif" w:hAnsi="DejaVu Serif"/>
        </w:rPr>
      </w:pPr>
      <w:bookmarkStart w:id="7" w:name="_Hlk29977217"/>
      <w:r>
        <w:rPr>
          <w:lang w:val="en-GB"/>
        </w:rPr>
        <w:t xml:space="preserve">an amendment to reflect any change or amendment to the legal name </w:t>
      </w:r>
      <w:bookmarkEnd w:id="7"/>
      <w:r>
        <w:rPr>
          <w:lang w:val="en-GB"/>
        </w:rPr>
        <w:t>or other details of the Beneficiary, the Secured Party or the Trustee as set out in schedule 2 (</w:t>
      </w:r>
      <w:r>
        <w:rPr>
          <w:i/>
          <w:lang w:val="en-GB"/>
        </w:rPr>
        <w:t>Party Details</w:t>
      </w:r>
      <w:r>
        <w:rPr>
          <w:lang w:val="en-GB"/>
        </w:rPr>
        <w:t>) to the GATS Security Instrument (including any incidental amendment to schedule 4 (</w:t>
      </w:r>
      <w:r>
        <w:rPr>
          <w:i/>
          <w:lang w:val="en-GB"/>
        </w:rPr>
        <w:t>Description of GATS Security Documents</w:t>
      </w:r>
      <w:r>
        <w:rPr>
          <w:lang w:val="en-GB"/>
        </w:rPr>
        <w:t>) to the GATS Security Instrument required as a result thereof);</w:t>
      </w:r>
      <w:bookmarkStart w:id="8" w:name="_Ref25307277"/>
      <w:bookmarkEnd w:id="8"/>
    </w:p>
    <w:p>
      <w:pPr>
        <w:pStyle w:val="AWGDefPara"/>
        <w:numPr>
          <w:ilvl w:val="2"/>
          <w:numId w:val="2"/>
        </w:numPr>
        <w:tabs>
          <w:tab w:val="clear" w:pos="720"/>
          <w:tab w:val="left" w:pos="900" w:leader="none"/>
        </w:tabs>
        <w:ind w:left="900" w:right="0" w:hanging="450"/>
        <w:rPr>
          <w:rFonts w:ascii="DejaVu Serif" w:hAnsi="DejaVu Serif"/>
        </w:rPr>
      </w:pPr>
      <w:r>
        <w:rPr>
          <w:lang w:val="en-GB"/>
        </w:rPr>
        <w:t>an amendment to amend and restate the GATS Security Instrument, the Master Terms or any other GATS Security Document to an updated version of the applicable GATS Form; and</w:t>
      </w:r>
    </w:p>
    <w:p>
      <w:pPr>
        <w:pStyle w:val="AWGDefPara"/>
        <w:numPr>
          <w:ilvl w:val="2"/>
          <w:numId w:val="2"/>
        </w:numPr>
        <w:tabs>
          <w:tab w:val="clear" w:pos="720"/>
          <w:tab w:val="left" w:pos="900" w:leader="none"/>
        </w:tabs>
        <w:ind w:left="900" w:right="0" w:hanging="450"/>
        <w:rPr>
          <w:rFonts w:ascii="DejaVu Serif" w:hAnsi="DejaVu Serif"/>
        </w:rPr>
      </w:pPr>
      <w:r>
        <w:rPr>
          <w:lang w:val="en-GB"/>
        </w:rPr>
        <w:t xml:space="preserve">an amendment for the purposes of (A) correcting any errors, or (B) complying with the mandatory requirements of any Applicable Law </w:t>
      </w:r>
      <w:bookmarkStart w:id="9" w:name="_Hlk25307340"/>
      <w:r>
        <w:rPr>
          <w:lang w:val="en-GB"/>
        </w:rPr>
        <w:t>(including where required to continue to give effect to the GATS Security Instrument)</w:t>
      </w:r>
      <w:bookmarkEnd w:id="9"/>
      <w:r>
        <w:rPr>
          <w:lang w:val="en-GB"/>
        </w:rPr>
        <w:t>; and</w:t>
      </w:r>
    </w:p>
    <w:p>
      <w:pPr>
        <w:pStyle w:val="AWGDefPara"/>
        <w:numPr>
          <w:ilvl w:val="1"/>
          <w:numId w:val="2"/>
        </w:numPr>
        <w:rPr>
          <w:rFonts w:ascii="DejaVu Serif" w:hAnsi="DejaVu Serif"/>
        </w:rPr>
      </w:pPr>
      <w:r>
        <w:rPr>
          <w:lang w:val="en-GB"/>
        </w:rPr>
        <w:t>an amendment effected pursuant to, or to the extent permitted or contemplated by, the express terms of another GATS Security Document</w:t>
      </w:r>
      <w:bookmarkStart w:id="10" w:name="_Ref25312877"/>
      <w:r>
        <w:rPr>
          <w:lang w:val="en-GB"/>
        </w:rPr>
        <w:t>.</w:t>
      </w:r>
      <w:bookmarkEnd w:id="10"/>
    </w:p>
    <w:p>
      <w:pPr>
        <w:pStyle w:val="AWGDef"/>
        <w:numPr>
          <w:ilvl w:val="0"/>
          <w:numId w:val="2"/>
        </w:numPr>
        <w:rPr>
          <w:rFonts w:ascii="DejaVu Serif" w:hAnsi="DejaVu Serif"/>
        </w:rPr>
      </w:pPr>
      <w:r>
        <w:rPr>
          <w:b/>
          <w:lang w:val="en-GB"/>
        </w:rPr>
        <w:t>Permitted Security Interest</w:t>
      </w:r>
      <w:r>
        <w:rPr>
          <w:lang w:val="en-GB"/>
        </w:rPr>
        <w:t xml:space="preserve"> means:</w:t>
      </w:r>
    </w:p>
    <w:p>
      <w:pPr>
        <w:pStyle w:val="AWGDefPara"/>
        <w:numPr>
          <w:ilvl w:val="1"/>
          <w:numId w:val="2"/>
        </w:numPr>
        <w:rPr>
          <w:rFonts w:ascii="DejaVu Serif" w:hAnsi="DejaVu Serif"/>
        </w:rPr>
      </w:pPr>
      <w:r>
        <w:rPr>
          <w:lang w:val="en-GB"/>
        </w:rPr>
        <w:t>the Security Interest assigned, charged or granted pursuant to the GATS Security Instrument; and</w:t>
      </w:r>
    </w:p>
    <w:p>
      <w:pPr>
        <w:pStyle w:val="AWGDefPara"/>
        <w:numPr>
          <w:ilvl w:val="1"/>
          <w:numId w:val="2"/>
        </w:numPr>
        <w:rPr>
          <w:rFonts w:ascii="DejaVu Serif" w:hAnsi="DejaVu Serif"/>
        </w:rPr>
      </w:pPr>
      <w:r>
        <w:rPr>
          <w:lang w:val="en-GB"/>
        </w:rPr>
        <w:t>if applicable, any other Security Interest in any of the Collateral the granting or existence of which constitutes a Permitted Action.</w:t>
      </w:r>
    </w:p>
    <w:p>
      <w:pPr>
        <w:pStyle w:val="AWGDef"/>
        <w:numPr>
          <w:ilvl w:val="0"/>
          <w:numId w:val="2"/>
        </w:numPr>
        <w:rPr>
          <w:rFonts w:ascii="DejaVu Serif" w:hAnsi="DejaVu Serif"/>
        </w:rPr>
      </w:pPr>
      <w:r>
        <w:rPr>
          <w:b/>
          <w:lang w:val="en-GB"/>
        </w:rPr>
        <w:t>Pledged Beneficial Interest</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Principal Borrower Party</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Principal Finance Document</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Principal Security Agreement</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Priority of Payments</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Receiver</w:t>
      </w:r>
      <w:r>
        <w:rPr>
          <w:lang w:val="en-GB"/>
        </w:rPr>
        <w:t xml:space="preserve"> has the meaning given to such term in Section 5.3(a). </w:t>
      </w:r>
    </w:p>
    <w:p>
      <w:pPr>
        <w:pStyle w:val="AWGDef"/>
        <w:numPr>
          <w:ilvl w:val="0"/>
          <w:numId w:val="2"/>
        </w:numPr>
        <w:rPr>
          <w:rFonts w:ascii="DejaVu Serif" w:hAnsi="DejaVu Serif"/>
        </w:rPr>
      </w:pPr>
      <w:r>
        <w:rPr>
          <w:b/>
          <w:lang w:val="en-GB"/>
        </w:rPr>
        <w:t>Relevant Courts</w:t>
      </w:r>
      <w:r>
        <w:rPr>
          <w:lang w:val="en-GB"/>
        </w:rPr>
        <w:t xml:space="preserve"> means the courts of Singapore. </w:t>
      </w:r>
    </w:p>
    <w:p>
      <w:pPr>
        <w:pStyle w:val="AWGDef"/>
        <w:numPr>
          <w:ilvl w:val="0"/>
          <w:numId w:val="2"/>
        </w:numPr>
        <w:rPr>
          <w:rFonts w:ascii="DejaVu Serif" w:hAnsi="DejaVu Serif"/>
        </w:rPr>
      </w:pPr>
      <w:r>
        <w:rPr>
          <w:b/>
          <w:lang w:val="en-GB"/>
        </w:rPr>
        <w:t xml:space="preserve">Rights </w:t>
      </w:r>
      <w:r>
        <w:rPr>
          <w:lang w:val="en-GB"/>
        </w:rPr>
        <w:t>has the meaning given to such term in (or incorporated by reference into) the GATS Trust Instrument.</w:t>
      </w:r>
    </w:p>
    <w:p>
      <w:pPr>
        <w:pStyle w:val="AWGDef"/>
        <w:numPr>
          <w:ilvl w:val="0"/>
          <w:numId w:val="2"/>
        </w:numPr>
        <w:rPr>
          <w:rFonts w:ascii="DejaVu Serif" w:hAnsi="DejaVu Serif"/>
        </w:rPr>
      </w:pPr>
      <w:r>
        <w:rPr>
          <w:b/>
          <w:lang w:val="en-GB"/>
        </w:rPr>
        <w:t>Secured Obligations</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Secured Party</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Security Interest</w:t>
      </w:r>
      <w:r>
        <w:rPr>
          <w:lang w:val="en-GB"/>
        </w:rPr>
        <w:t xml:space="preserve"> means any mortgage, charge, pledge, security assignment, lien, other security interest, or any encumbrance, however created or arising.</w:t>
      </w:r>
    </w:p>
    <w:p>
      <w:pPr>
        <w:pStyle w:val="AWGDef"/>
        <w:numPr>
          <w:ilvl w:val="0"/>
          <w:numId w:val="2"/>
        </w:numPr>
        <w:rPr>
          <w:rFonts w:ascii="DejaVu Serif" w:hAnsi="DejaVu Serif"/>
        </w:rPr>
      </w:pPr>
      <w:r>
        <w:rPr>
          <w:b/>
          <w:lang w:val="en-GB"/>
        </w:rPr>
        <w:t>Singapore Trust Branch</w:t>
      </w:r>
      <w:r>
        <w:rPr>
          <w:lang w:val="en-GB"/>
        </w:rPr>
        <w:t xml:space="preserve"> means the GATS trust branch corresponding to Singapore.</w:t>
      </w:r>
    </w:p>
    <w:p>
      <w:pPr>
        <w:pStyle w:val="AWGDef"/>
        <w:numPr>
          <w:ilvl w:val="0"/>
          <w:numId w:val="2"/>
        </w:numPr>
        <w:rPr>
          <w:rFonts w:ascii="DejaVu Serif" w:hAnsi="DejaVu Serif"/>
        </w:rPr>
      </w:pPr>
      <w:r>
        <w:rPr>
          <w:b/>
          <w:lang w:val="en-GB"/>
        </w:rPr>
        <w:t xml:space="preserve">Third Parties Act </w:t>
      </w:r>
      <w:r>
        <w:rPr>
          <w:lang w:val="en-GB"/>
        </w:rPr>
        <w:t>means the Contracts (Rights of Third Parties) Act, Chapter 53B of Singapore.</w:t>
      </w:r>
    </w:p>
    <w:p>
      <w:pPr>
        <w:pStyle w:val="AWGDef"/>
        <w:numPr>
          <w:ilvl w:val="0"/>
          <w:numId w:val="2"/>
        </w:numPr>
        <w:rPr>
          <w:rFonts w:ascii="DejaVu Serif" w:hAnsi="DejaVu Serif"/>
        </w:rPr>
      </w:pPr>
      <w:r>
        <w:rPr>
          <w:b/>
          <w:lang w:val="en-GB"/>
        </w:rPr>
        <w:t>Transfer Instrument</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Trust Company</w:t>
      </w:r>
      <w:r>
        <w:rPr>
          <w:lang w:val="en-GB"/>
        </w:rPr>
        <w:t xml:space="preserve"> means the person acting as Trustee, not in its capacity as trustee but in its individual capacity and for its own account.</w:t>
      </w:r>
    </w:p>
    <w:p>
      <w:pPr>
        <w:pStyle w:val="AWGDef"/>
        <w:numPr>
          <w:ilvl w:val="0"/>
          <w:numId w:val="2"/>
        </w:numPr>
        <w:rPr>
          <w:rFonts w:ascii="DejaVu Serif" w:hAnsi="DejaVu Serif"/>
        </w:rPr>
      </w:pPr>
      <w:r>
        <w:rPr>
          <w:b/>
          <w:lang w:val="en-GB"/>
        </w:rPr>
        <w:t>Trust Document</w:t>
      </w:r>
      <w:r>
        <w:rPr>
          <w:lang w:val="en-GB"/>
        </w:rPr>
        <w:t xml:space="preserve"> has the meaning given to such term in (or incorporated by reference into) the GATS Trust Instrument.</w:t>
      </w:r>
    </w:p>
    <w:p>
      <w:pPr>
        <w:pStyle w:val="AWGDef"/>
        <w:numPr>
          <w:ilvl w:val="0"/>
          <w:numId w:val="2"/>
        </w:numPr>
        <w:rPr>
          <w:rFonts w:ascii="DejaVu Serif" w:hAnsi="DejaVu Serif"/>
        </w:rPr>
      </w:pPr>
      <w:r>
        <w:rPr>
          <w:b/>
          <w:lang w:val="en-GB"/>
        </w:rPr>
        <w:t>Trust Estate</w:t>
      </w:r>
      <w:r>
        <w:rPr>
          <w:lang w:val="en-GB"/>
        </w:rPr>
        <w:t xml:space="preserve"> has the meaning given to such term in the GATS Trust Instrument.</w:t>
      </w:r>
    </w:p>
    <w:p>
      <w:pPr>
        <w:pStyle w:val="AWGDef"/>
        <w:numPr>
          <w:ilvl w:val="0"/>
          <w:numId w:val="2"/>
        </w:numPr>
        <w:rPr>
          <w:rFonts w:ascii="DejaVu Serif" w:hAnsi="DejaVu Serif"/>
        </w:rPr>
      </w:pPr>
      <w:r>
        <w:rPr>
          <w:b/>
          <w:lang w:val="en-GB"/>
        </w:rPr>
        <w:t>Trust Instrument Master Terms</w:t>
      </w:r>
      <w:r>
        <w:rPr>
          <w:lang w:val="en-GB"/>
        </w:rPr>
        <w:t xml:space="preserve"> means the GATS Trust Instrument Master Terms as in effect at the ‘Effective Time’ (as defined in the GATS Trust Instrument’ and applicable to the Singapore Trust Branch and marked with the same ‘GATS Transaction ID’ as the GATS Trust Instrument, and which can be accessed and authenticated on the GATS Platform together with the GATS Trust Instrument.</w:t>
      </w:r>
    </w:p>
    <w:p>
      <w:pPr>
        <w:pStyle w:val="AWGDef"/>
        <w:numPr>
          <w:ilvl w:val="0"/>
          <w:numId w:val="2"/>
        </w:numPr>
        <w:rPr>
          <w:rFonts w:ascii="DejaVu Serif" w:hAnsi="DejaVu Serif"/>
        </w:rPr>
      </w:pPr>
      <w:r>
        <w:rPr>
          <w:b/>
          <w:lang w:val="en-GB"/>
        </w:rPr>
        <w:t>Trustee</w:t>
      </w:r>
      <w:r>
        <w:rPr>
          <w:lang w:val="en-GB"/>
        </w:rPr>
        <w:t xml:space="preserve"> has the meaning given to such term in the GATS Security Instrument.</w:t>
      </w:r>
    </w:p>
    <w:p>
      <w:pPr>
        <w:pStyle w:val="AWGDef"/>
        <w:numPr>
          <w:ilvl w:val="0"/>
          <w:numId w:val="2"/>
        </w:numPr>
        <w:rPr>
          <w:rFonts w:ascii="DejaVu Serif" w:hAnsi="DejaVu Serif"/>
        </w:rPr>
      </w:pPr>
      <w:r>
        <w:rPr>
          <w:b/>
          <w:lang w:val="en-GB"/>
        </w:rPr>
        <w:t xml:space="preserve">Unrelated Person </w:t>
      </w:r>
      <w:r>
        <w:rPr>
          <w:lang w:val="en-GB"/>
        </w:rPr>
        <w:t>means any person other than a subsidiary of any Principal Borrower Party.</w:t>
      </w:r>
    </w:p>
    <w:p>
      <w:pPr>
        <w:pStyle w:val="AWGNumberedList2"/>
        <w:numPr>
          <w:ilvl w:val="1"/>
          <w:numId w:val="3"/>
        </w:numPr>
        <w:rPr>
          <w:rFonts w:ascii="DejaVu Serif" w:hAnsi="DejaVu Serif"/>
        </w:rPr>
      </w:pPr>
      <w:bookmarkStart w:id="11" w:name="_Ref29378080"/>
      <w:r>
        <w:rPr/>
        <w:t>Interpretation</w:t>
      </w:r>
      <w:bookmarkEnd w:id="11"/>
    </w:p>
    <w:p>
      <w:pPr>
        <w:pStyle w:val="AWGNumberedListAlt3"/>
        <w:numPr>
          <w:ilvl w:val="3"/>
          <w:numId w:val="3"/>
        </w:numPr>
        <w:tabs>
          <w:tab w:val="clear" w:pos="720"/>
          <w:tab w:val="left" w:pos="480" w:leader="none"/>
        </w:tabs>
        <w:rPr>
          <w:rFonts w:ascii="DejaVu Serif" w:hAnsi="DejaVu Serif"/>
        </w:rPr>
      </w:pPr>
      <w:r>
        <w:rPr/>
        <w:t>Unless a contrary intention appears, a reference in the GATS Security Instrument or any other GATS Security Document to:</w:t>
      </w:r>
    </w:p>
    <w:p>
      <w:pPr>
        <w:pStyle w:val="AWGNumberedListAlt4"/>
        <w:numPr>
          <w:ilvl w:val="5"/>
          <w:numId w:val="3"/>
        </w:numPr>
        <w:tabs>
          <w:tab w:val="clear" w:pos="720"/>
          <w:tab w:val="left" w:pos="915" w:leader="none"/>
        </w:tabs>
        <w:rPr>
          <w:rFonts w:ascii="DejaVu Serif" w:hAnsi="DejaVu Serif"/>
        </w:rPr>
      </w:pPr>
      <w:r>
        <w:rPr/>
        <w:t xml:space="preserve">the </w:t>
      </w:r>
      <w:r>
        <w:rPr>
          <w:b/>
        </w:rPr>
        <w:t>Beneficiary</w:t>
      </w:r>
      <w:r>
        <w:rPr/>
        <w:t xml:space="preserve">, the </w:t>
      </w:r>
      <w:r>
        <w:rPr>
          <w:b/>
        </w:rPr>
        <w:t xml:space="preserve">Secured Party </w:t>
      </w:r>
      <w:r>
        <w:rPr/>
        <w:t xml:space="preserve">or the </w:t>
      </w:r>
      <w:r>
        <w:rPr>
          <w:b/>
        </w:rPr>
        <w:t>Trustee</w:t>
      </w:r>
      <w:r>
        <w:rPr/>
        <w:t xml:space="preserve"> or any other person shall be construed, unless otherwise expressly stated (A) to be a reference to it in its capacity as such and not in any other capacity, and (B) so as to include its successors in title, permitted assigns and permitted transferees;</w:t>
      </w:r>
    </w:p>
    <w:p>
      <w:pPr>
        <w:pStyle w:val="AWGNumberedListAlt4"/>
        <w:numPr>
          <w:ilvl w:val="5"/>
          <w:numId w:val="3"/>
        </w:numPr>
        <w:tabs>
          <w:tab w:val="clear" w:pos="720"/>
          <w:tab w:val="left" w:pos="900" w:leader="none"/>
        </w:tabs>
        <w:rPr>
          <w:rFonts w:ascii="DejaVu Serif" w:hAnsi="DejaVu Serif"/>
        </w:rPr>
      </w:pPr>
      <w:r>
        <w:rPr/>
        <w:t xml:space="preserve">a </w:t>
      </w:r>
      <w:r>
        <w:rPr>
          <w:b/>
        </w:rPr>
        <w:t>party</w:t>
      </w:r>
      <w:r>
        <w:rPr/>
        <w:t xml:space="preserve"> in any GATS Security Document means a party to that GATS Security Document;</w:t>
      </w:r>
    </w:p>
    <w:p>
      <w:pPr>
        <w:pStyle w:val="AWGNumberedListAlt4"/>
        <w:numPr>
          <w:ilvl w:val="5"/>
          <w:numId w:val="3"/>
        </w:numPr>
        <w:tabs>
          <w:tab w:val="clear" w:pos="720"/>
          <w:tab w:val="left" w:pos="915" w:leader="none"/>
        </w:tabs>
        <w:rPr>
          <w:rFonts w:ascii="DejaVu Serif" w:hAnsi="DejaVu Serif"/>
        </w:rPr>
      </w:pPr>
      <w:r>
        <w:rPr/>
        <w:t xml:space="preserve">a </w:t>
      </w:r>
      <w:r>
        <w:rPr>
          <w:b/>
        </w:rPr>
        <w:t>person</w:t>
      </w:r>
      <w:r>
        <w:rPr/>
        <w:t xml:space="preserve"> includes any individual, firm, company, corporation, association, trust, joint venture consortium, partnership or other entity (whether or not having separate legal personality), and includes a government, state, political subdivision or agency of a state;</w:t>
      </w:r>
    </w:p>
    <w:p>
      <w:pPr>
        <w:pStyle w:val="AWGNumberedListAlt4"/>
        <w:numPr>
          <w:ilvl w:val="5"/>
          <w:numId w:val="3"/>
        </w:numPr>
        <w:tabs>
          <w:tab w:val="clear" w:pos="720"/>
          <w:tab w:val="left" w:pos="975" w:leader="none"/>
        </w:tabs>
        <w:rPr>
          <w:rFonts w:ascii="DejaVu Serif" w:hAnsi="DejaVu Serif"/>
        </w:rPr>
      </w:pPr>
      <w:r>
        <w:rPr>
          <w:b/>
        </w:rPr>
        <w:t>assets</w:t>
      </w:r>
      <w:r>
        <w:rPr/>
        <w:t xml:space="preserve"> or </w:t>
      </w:r>
      <w:r>
        <w:rPr>
          <w:b/>
        </w:rPr>
        <w:t>property</w:t>
      </w:r>
      <w:r>
        <w:rPr/>
        <w:t xml:space="preserve"> includes present and future assets or properties, revenues and rights of every description;</w:t>
      </w:r>
    </w:p>
    <w:p>
      <w:pPr>
        <w:pStyle w:val="AWGNumberedListAlt4"/>
        <w:numPr>
          <w:ilvl w:val="5"/>
          <w:numId w:val="3"/>
        </w:numPr>
        <w:tabs>
          <w:tab w:val="clear" w:pos="720"/>
          <w:tab w:val="left" w:pos="930" w:leader="none"/>
        </w:tabs>
        <w:rPr>
          <w:rFonts w:ascii="DejaVu Serif" w:hAnsi="DejaVu Serif"/>
        </w:rPr>
      </w:pPr>
      <w:r>
        <w:rPr/>
        <w:t xml:space="preserve">a </w:t>
      </w:r>
      <w:r>
        <w:rPr>
          <w:b/>
        </w:rPr>
        <w:t>law</w:t>
      </w:r>
      <w:r>
        <w:rPr/>
        <w:t xml:space="preserve"> or </w:t>
      </w:r>
      <w:r>
        <w:rPr>
          <w:b/>
        </w:rPr>
        <w:t>regulation</w:t>
      </w:r>
      <w:r>
        <w:rPr/>
        <w:t xml:space="preserve"> includes any law, constitution, treaty, statute, decree, regulation, order (including an executive order), rule or directive of any governmental, intergovernmental or supranational body, agency, department or of any regulatory, self-regulatory or other authority or organisation, or any judicial or administrative interpretation or application of, or decision under, any of the foregoing;</w:t>
      </w:r>
    </w:p>
    <w:p>
      <w:pPr>
        <w:pStyle w:val="AWGNumberedListAlt4"/>
        <w:numPr>
          <w:ilvl w:val="5"/>
          <w:numId w:val="3"/>
        </w:numPr>
        <w:tabs>
          <w:tab w:val="clear" w:pos="720"/>
          <w:tab w:val="left" w:pos="915" w:leader="none"/>
        </w:tabs>
        <w:rPr>
          <w:rFonts w:ascii="DejaVu Serif" w:hAnsi="DejaVu Serif"/>
        </w:rPr>
      </w:pPr>
      <w:r>
        <w:rPr/>
        <w:t>any provision of any law or regulation includes any such provision as amended, re-enacted or superseded by any other law or regulation;</w:t>
      </w:r>
    </w:p>
    <w:p>
      <w:pPr>
        <w:pStyle w:val="AWGNumberedListAlt4"/>
        <w:numPr>
          <w:ilvl w:val="5"/>
          <w:numId w:val="3"/>
        </w:numPr>
        <w:tabs>
          <w:tab w:val="clear" w:pos="720"/>
          <w:tab w:val="left" w:pos="915" w:leader="none"/>
        </w:tabs>
        <w:rPr>
          <w:rFonts w:ascii="DejaVu Serif" w:hAnsi="DejaVu Serif"/>
        </w:rPr>
      </w:pPr>
      <w:r>
        <w:rPr/>
        <w:t xml:space="preserve">an </w:t>
      </w:r>
      <w:r>
        <w:rPr>
          <w:b/>
        </w:rPr>
        <w:t>Article</w:t>
      </w:r>
      <w:r>
        <w:rPr/>
        <w:t xml:space="preserve">, a </w:t>
      </w:r>
      <w:r>
        <w:rPr>
          <w:b/>
        </w:rPr>
        <w:t>Clause</w:t>
      </w:r>
      <w:r>
        <w:rPr/>
        <w:t xml:space="preserve">, a </w:t>
      </w:r>
      <w:r>
        <w:rPr>
          <w:b/>
        </w:rPr>
        <w:t>Section</w:t>
      </w:r>
      <w:r>
        <w:rPr/>
        <w:t xml:space="preserve">, an </w:t>
      </w:r>
      <w:r>
        <w:rPr>
          <w:b/>
        </w:rPr>
        <w:t>Annex</w:t>
      </w:r>
      <w:r>
        <w:rPr/>
        <w:t xml:space="preserve">, an </w:t>
      </w:r>
      <w:r>
        <w:rPr>
          <w:b/>
        </w:rPr>
        <w:t>Appendix</w:t>
      </w:r>
      <w:r>
        <w:rPr/>
        <w:t xml:space="preserve">, an </w:t>
      </w:r>
      <w:r>
        <w:rPr>
          <w:b/>
        </w:rPr>
        <w:t>Exhibit</w:t>
      </w:r>
      <w:r>
        <w:rPr/>
        <w:t xml:space="preserve"> or a </w:t>
      </w:r>
      <w:r>
        <w:rPr>
          <w:b/>
        </w:rPr>
        <w:t>Schedule</w:t>
      </w:r>
      <w:r>
        <w:rPr/>
        <w:t xml:space="preserve"> in these Master Terms, in the GATS Security Instrument or in any other GATS Security Document is a reference to an article, clause or section of, or an annex, appendix, exhibit or a schedule to these Master Terms, the GATS Security Instrument or such other GATS Security Document, as applicable;</w:t>
      </w:r>
    </w:p>
    <w:p>
      <w:pPr>
        <w:pStyle w:val="AWGNumberedListAlt4"/>
        <w:numPr>
          <w:ilvl w:val="5"/>
          <w:numId w:val="3"/>
        </w:numPr>
        <w:tabs>
          <w:tab w:val="clear" w:pos="720"/>
          <w:tab w:val="left" w:pos="930" w:leader="none"/>
        </w:tabs>
        <w:rPr>
          <w:rFonts w:ascii="DejaVu Serif" w:hAnsi="DejaVu Serif"/>
        </w:rPr>
      </w:pPr>
      <w:r>
        <w:rPr/>
        <w:t>any GATS Security Document or any schedule thereto includes that GATS Security Document or schedule, respectively, as amended, modified, restated, replaced, substituted or supplemented from time to time pursuant to any Permitted GATS Amendment or any GATS Security Document;</w:t>
      </w:r>
    </w:p>
    <w:p>
      <w:pPr>
        <w:pStyle w:val="AWGNumberedListAlt4"/>
        <w:numPr>
          <w:ilvl w:val="5"/>
          <w:numId w:val="3"/>
        </w:numPr>
        <w:tabs>
          <w:tab w:val="clear" w:pos="720"/>
          <w:tab w:val="left" w:pos="930" w:leader="none"/>
        </w:tabs>
        <w:rPr>
          <w:rFonts w:ascii="DejaVu Serif" w:hAnsi="DejaVu Serif"/>
        </w:rPr>
      </w:pPr>
      <w:r>
        <w:rPr/>
        <w:t>any agreement, instrument or document (other than a GATS Security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pPr>
        <w:pStyle w:val="AWGNumberedListAlt4"/>
        <w:numPr>
          <w:ilvl w:val="5"/>
          <w:numId w:val="3"/>
        </w:numPr>
        <w:tabs>
          <w:tab w:val="clear" w:pos="720"/>
          <w:tab w:val="left" w:pos="915" w:leader="none"/>
        </w:tabs>
        <w:rPr>
          <w:rFonts w:ascii="DejaVu Serif" w:hAnsi="DejaVu Serif"/>
        </w:rPr>
      </w:pPr>
      <w:r>
        <w:rPr/>
        <w:t>words importing the plural include the singular and words importing the singular include the plural;</w:t>
      </w:r>
    </w:p>
    <w:p>
      <w:pPr>
        <w:pStyle w:val="AWGNumberedListAlt4"/>
        <w:numPr>
          <w:ilvl w:val="5"/>
          <w:numId w:val="3"/>
        </w:numPr>
        <w:tabs>
          <w:tab w:val="clear" w:pos="720"/>
          <w:tab w:val="left" w:pos="915" w:leader="none"/>
        </w:tabs>
        <w:rPr>
          <w:rFonts w:ascii="DejaVu Serif" w:hAnsi="DejaVu Serif"/>
        </w:rPr>
      </w:pPr>
      <w:r>
        <w:rPr>
          <w:b/>
        </w:rPr>
        <w:t>in writing</w:t>
      </w:r>
      <w:r>
        <w:rPr/>
        <w:t xml:space="preserve"> or </w:t>
      </w:r>
      <w:r>
        <w:rPr>
          <w:b/>
        </w:rPr>
        <w:t>written</w:t>
      </w:r>
      <w:r>
        <w:rPr/>
        <w:t xml:space="preserve"> includes through any electronic notification facility provided by the GATS Platform, unless otherwise stated;</w:t>
      </w:r>
    </w:p>
    <w:p>
      <w:pPr>
        <w:pStyle w:val="AWGNumberedListAlt4"/>
        <w:numPr>
          <w:ilvl w:val="5"/>
          <w:numId w:val="3"/>
        </w:numPr>
        <w:tabs>
          <w:tab w:val="clear" w:pos="720"/>
          <w:tab w:val="left" w:pos="915" w:leader="none"/>
        </w:tabs>
        <w:rPr>
          <w:rFonts w:ascii="DejaVu Serif" w:hAnsi="DejaVu Serif"/>
        </w:rPr>
      </w:pPr>
      <w:r>
        <w:rPr/>
        <w:t>the date of a GATS Trust Document or a GATS Security Document (or the date as of which a GATS Trust Document or a GATS Security Document took effect) is the date on which the effective time of that GATS Trust Document or GATS Security Document occurred, as indicated on its front cover;</w:t>
      </w:r>
    </w:p>
    <w:p>
      <w:pPr>
        <w:pStyle w:val="AWGNumberedListAlt4"/>
        <w:numPr>
          <w:ilvl w:val="5"/>
          <w:numId w:val="3"/>
        </w:numPr>
        <w:tabs>
          <w:tab w:val="clear" w:pos="720"/>
          <w:tab w:val="left" w:pos="900" w:leader="none"/>
        </w:tabs>
        <w:rPr>
          <w:rFonts w:ascii="DejaVu Serif" w:hAnsi="DejaVu Serif"/>
        </w:rPr>
      </w:pPr>
      <w:bookmarkStart w:id="12" w:name="_Hlk26971969"/>
      <w:r>
        <w:rPr/>
        <w:t>the occurrence of a transaction taking effect ‘immediately’ prior to or after the effective time of a GATS Trust Document or GATS Security Document includes any transaction taking effect prior to or after such GATS Trust Document or GATS Security Document executed and delivered electronically or digitally in the same ‘escrow facility’ on the GATS Platform pursuant to another GATS Trust Document or GATS Security Document; and</w:t>
      </w:r>
    </w:p>
    <w:p>
      <w:pPr>
        <w:pStyle w:val="AWGNumberedListAlt4"/>
        <w:numPr>
          <w:ilvl w:val="5"/>
          <w:numId w:val="3"/>
        </w:numPr>
        <w:tabs>
          <w:tab w:val="clear" w:pos="720"/>
          <w:tab w:val="left" w:pos="915" w:leader="none"/>
        </w:tabs>
        <w:rPr>
          <w:rFonts w:ascii="DejaVu Serif" w:hAnsi="DejaVu Serif"/>
        </w:rPr>
      </w:pPr>
      <w:bookmarkStart w:id="13" w:name="_Ref29378112"/>
      <w:r>
        <w:rPr/>
        <w:t>‘</w:t>
      </w:r>
      <w:r>
        <w:rPr/>
        <w:t>permitted by the terms of’ the Finance Documents shall be construed to mean either: (A) ‘expressly permitted by the terms of’ the Finance Documents, or (B) ‘not expressly prohibited by the terms of’ the Finance Document, as determined by the express terms of the Finance Document for the purposes of this Section 2.2(a)(xiv) and, if such Finance Document does not contain any such express term, shall be construed to mean the former</w:t>
      </w:r>
      <w:bookmarkEnd w:id="12"/>
      <w:r>
        <w:rPr/>
        <w:t>.</w:t>
      </w:r>
      <w:bookmarkEnd w:id="13"/>
    </w:p>
    <w:p>
      <w:pPr>
        <w:pStyle w:val="AWGNumberedListAlt3"/>
        <w:numPr>
          <w:ilvl w:val="3"/>
          <w:numId w:val="3"/>
        </w:numPr>
        <w:tabs>
          <w:tab w:val="clear" w:pos="720"/>
          <w:tab w:val="left" w:pos="525" w:leader="none"/>
        </w:tabs>
        <w:rPr>
          <w:rFonts w:ascii="DejaVu Serif" w:hAnsi="DejaVu Serif"/>
        </w:rPr>
      </w:pPr>
      <w:r>
        <w:rPr/>
        <w:t>The words ‘including’ and terms and phrases of similar import mean, in each case, ‘including, without limitation’.</w:t>
      </w:r>
    </w:p>
    <w:p>
      <w:pPr>
        <w:pStyle w:val="AWGNumberedListAlt3"/>
        <w:numPr>
          <w:ilvl w:val="3"/>
          <w:numId w:val="3"/>
        </w:numPr>
        <w:tabs>
          <w:tab w:val="clear" w:pos="720"/>
          <w:tab w:val="left" w:pos="465" w:leader="none"/>
        </w:tabs>
        <w:rPr>
          <w:rFonts w:ascii="DejaVu Serif" w:hAnsi="DejaVu Serif"/>
        </w:rPr>
      </w:pPr>
      <w:r>
        <w:rPr/>
        <w:t>Headings used in any GATS Security Document are for convenience only and shall not in any way affect the construction of, or be taken into consideration in interpreting, such GATS Security Document.</w:t>
      </w:r>
    </w:p>
    <w:p>
      <w:pPr>
        <w:pStyle w:val="AWGNumberedListAlt3"/>
        <w:numPr>
          <w:ilvl w:val="3"/>
          <w:numId w:val="3"/>
        </w:numPr>
        <w:tabs>
          <w:tab w:val="clear" w:pos="720"/>
          <w:tab w:val="left" w:pos="480" w:leader="none"/>
        </w:tabs>
        <w:rPr>
          <w:rFonts w:ascii="DejaVu Serif" w:hAnsi="DejaVu Serif"/>
        </w:rPr>
      </w:pPr>
      <w:r>
        <w:rPr/>
        <w:t>Each schedule, exhibit, annex and appendix to each GATS Security Document is incorporated in, and shall be deemed to be a part of, such GATS Security Document.</w:t>
      </w:r>
    </w:p>
    <w:p>
      <w:pPr>
        <w:pStyle w:val="AWGNumberedListAlt3"/>
        <w:numPr>
          <w:ilvl w:val="3"/>
          <w:numId w:val="3"/>
        </w:numPr>
        <w:tabs>
          <w:tab w:val="clear" w:pos="720"/>
          <w:tab w:val="left" w:pos="465" w:leader="none"/>
        </w:tabs>
        <w:rPr>
          <w:rFonts w:ascii="DejaVu Serif" w:hAnsi="DejaVu Serif"/>
        </w:rPr>
      </w:pPr>
      <w:r>
        <w:rPr/>
        <w:t>The GATS Security Instrument includes and shall be deemed to include these Master Terms.</w:t>
      </w:r>
    </w:p>
    <w:p>
      <w:pPr>
        <w:pStyle w:val="AWGNumberedListAlt3"/>
        <w:numPr>
          <w:ilvl w:val="3"/>
          <w:numId w:val="3"/>
        </w:numPr>
        <w:tabs>
          <w:tab w:val="clear" w:pos="720"/>
          <w:tab w:val="left" w:pos="480" w:leader="none"/>
        </w:tabs>
        <w:rPr>
          <w:rFonts w:ascii="DejaVu Serif" w:hAnsi="DejaVu Serif"/>
        </w:rPr>
      </w:pPr>
      <w:r>
        <w:rPr/>
        <w:t>The GATS Trust Instrument includes and shall be deemed to include the Trust Instrument Master Terms.</w:t>
      </w:r>
    </w:p>
    <w:p>
      <w:pPr>
        <w:pStyle w:val="AWGNumberedList1"/>
        <w:numPr>
          <w:ilvl w:val="0"/>
          <w:numId w:val="3"/>
        </w:numPr>
        <w:jc w:val="left"/>
        <w:rPr>
          <w:rFonts w:ascii="DejaVu Serif" w:hAnsi="DejaVu Serif"/>
        </w:rPr>
      </w:pPr>
      <w:r>
        <w:rPr/>
        <w:t>SECURITY INTEREST</w:t>
      </w:r>
    </w:p>
    <w:p>
      <w:pPr>
        <w:pStyle w:val="AWGNumberedList2"/>
        <w:numPr>
          <w:ilvl w:val="1"/>
          <w:numId w:val="3"/>
        </w:numPr>
        <w:rPr>
          <w:rFonts w:ascii="DejaVu Serif" w:hAnsi="DejaVu Serif"/>
        </w:rPr>
      </w:pPr>
      <w:r>
        <w:rPr/>
        <w:t>Limitations on Secured Party’s Obligations</w:t>
      </w:r>
    </w:p>
    <w:p>
      <w:pPr>
        <w:pStyle w:val="AWGNumberedListAlt3"/>
        <w:numPr>
          <w:ilvl w:val="3"/>
          <w:numId w:val="3"/>
        </w:numPr>
        <w:tabs>
          <w:tab w:val="clear" w:pos="720"/>
          <w:tab w:val="left" w:pos="465" w:leader="none"/>
        </w:tabs>
        <w:rPr>
          <w:rFonts w:ascii="DejaVu Serif" w:hAnsi="DejaVu Serif"/>
        </w:rPr>
      </w:pPr>
      <w:r>
        <w:rPr/>
        <w:t xml:space="preserve">The Beneficiary shall remain liable under the GATS Trust Instrument to observe and perform all the conditions and obligations to be observed and performed by it under the GATS Trust Instrument, all in accordance with the terms and provisions of the GATS Trust Instrument.  </w:t>
      </w:r>
    </w:p>
    <w:p>
      <w:pPr>
        <w:pStyle w:val="AWGNumberedListAlt3"/>
        <w:numPr>
          <w:ilvl w:val="3"/>
          <w:numId w:val="3"/>
        </w:numPr>
        <w:tabs>
          <w:tab w:val="clear" w:pos="720"/>
          <w:tab w:val="left" w:pos="465" w:leader="none"/>
        </w:tabs>
        <w:rPr>
          <w:rFonts w:ascii="DejaVu Serif" w:hAnsi="DejaVu Serif"/>
        </w:rPr>
      </w:pPr>
      <w:r>
        <w:rPr/>
        <w:t>The Secured Party shall not have:</w:t>
      </w:r>
    </w:p>
    <w:p>
      <w:pPr>
        <w:pStyle w:val="AWGNumberedListAlt4"/>
        <w:numPr>
          <w:ilvl w:val="5"/>
          <w:numId w:val="3"/>
        </w:numPr>
        <w:tabs>
          <w:tab w:val="clear" w:pos="720"/>
          <w:tab w:val="left" w:pos="915" w:leader="none"/>
        </w:tabs>
        <w:rPr>
          <w:rFonts w:ascii="DejaVu Serif" w:hAnsi="DejaVu Serif"/>
        </w:rPr>
      </w:pPr>
      <w:r>
        <w:rPr/>
        <w:t>any obligation or liability under the GATS Trust Instrument by reason of or arising out of the GATS Security Instrument or the receipt by the Secured Party of any payment relating to the GATS Trust Instrument pursuant to the GATS Security Instrument; or</w:t>
      </w:r>
    </w:p>
    <w:p>
      <w:pPr>
        <w:pStyle w:val="AWGNumberedListAlt4"/>
        <w:numPr>
          <w:ilvl w:val="5"/>
          <w:numId w:val="3"/>
        </w:numPr>
        <w:tabs>
          <w:tab w:val="clear" w:pos="720"/>
          <w:tab w:val="left" w:pos="900" w:leader="none"/>
        </w:tabs>
        <w:rPr>
          <w:rFonts w:ascii="DejaVu Serif" w:hAnsi="DejaVu Serif"/>
        </w:rPr>
      </w:pPr>
      <w:r>
        <w:rPr/>
        <w:t>any obligation in any manner to perform any of the obligations of the Beneficiary under or pursuant to the GATS Trust Instrument, to make any payment, to make any enquiry as to the nature or the sufficiency of any payment received by it or as to the sufficiency of any performance by any party under the GATS Trust Instrument, to present or file any claim, to take any action to enforce any performance or to collect the payment of any amounts which may have been assigned to it or to which it may be entitled at any time.</w:t>
      </w:r>
    </w:p>
    <w:p>
      <w:pPr>
        <w:pStyle w:val="AWGNumberedList2"/>
        <w:numPr>
          <w:ilvl w:val="1"/>
          <w:numId w:val="3"/>
        </w:numPr>
        <w:rPr>
          <w:rFonts w:ascii="DejaVu Serif" w:hAnsi="DejaVu Serif"/>
        </w:rPr>
      </w:pPr>
      <w:r>
        <w:rPr/>
        <w:t>Security Interest Absolute</w:t>
      </w:r>
    </w:p>
    <w:p>
      <w:pPr>
        <w:pStyle w:val="AWGBodyText1"/>
        <w:rPr>
          <w:rFonts w:ascii="DejaVu Serif" w:hAnsi="DejaVu Serif"/>
        </w:rPr>
      </w:pPr>
      <w:r>
        <w:rPr/>
        <w:t>No rights of the Secured Party, nor any Security Interests assigned, charged or granted by or obligations of the Beneficiary under the GATS Security Instrument, shall be adversely affected by:</w:t>
      </w:r>
    </w:p>
    <w:p>
      <w:pPr>
        <w:pStyle w:val="AWGNumberedListAlt3"/>
        <w:numPr>
          <w:ilvl w:val="3"/>
          <w:numId w:val="3"/>
        </w:numPr>
        <w:tabs>
          <w:tab w:val="clear" w:pos="720"/>
          <w:tab w:val="left" w:pos="465" w:leader="none"/>
        </w:tabs>
        <w:rPr>
          <w:rFonts w:ascii="DejaVu Serif" w:hAnsi="DejaVu Serif"/>
        </w:rPr>
      </w:pPr>
      <w:r>
        <w:rPr/>
        <w:t>any lack of validity or enforceability of the GATS Security Instrument or any Finance Document or any agreement or instrument relating to the GATS Security Instrument or any Finance Document;</w:t>
      </w:r>
    </w:p>
    <w:p>
      <w:pPr>
        <w:pStyle w:val="AWGNumberedListAlt3"/>
        <w:numPr>
          <w:ilvl w:val="3"/>
          <w:numId w:val="3"/>
        </w:numPr>
        <w:tabs>
          <w:tab w:val="clear" w:pos="720"/>
          <w:tab w:val="left" w:pos="450" w:leader="none"/>
        </w:tabs>
        <w:rPr>
          <w:rFonts w:ascii="DejaVu Serif" w:hAnsi="DejaVu Serif"/>
        </w:rPr>
      </w:pPr>
      <w:r>
        <w:rPr/>
        <w:t>failure of any holder of any Secured Obligations:</w:t>
      </w:r>
    </w:p>
    <w:p>
      <w:pPr>
        <w:pStyle w:val="AWGNumberedListAlt4"/>
        <w:numPr>
          <w:ilvl w:val="5"/>
          <w:numId w:val="3"/>
        </w:numPr>
        <w:tabs>
          <w:tab w:val="clear" w:pos="720"/>
          <w:tab w:val="left" w:pos="885" w:leader="none"/>
        </w:tabs>
        <w:rPr>
          <w:rFonts w:ascii="DejaVu Serif" w:hAnsi="DejaVu Serif"/>
        </w:rPr>
      </w:pPr>
      <w:r>
        <w:rPr/>
        <w:t>to assert any claim or demand or to enforce any right or remedy against the Beneficiary or under the provisions of the GATS Security Instrument or any Finance Document or otherwise; or</w:t>
      </w:r>
    </w:p>
    <w:p>
      <w:pPr>
        <w:pStyle w:val="AWGNumberedListAlt4"/>
        <w:numPr>
          <w:ilvl w:val="5"/>
          <w:numId w:val="3"/>
        </w:numPr>
        <w:tabs>
          <w:tab w:val="clear" w:pos="720"/>
          <w:tab w:val="left" w:pos="900" w:leader="none"/>
        </w:tabs>
        <w:rPr>
          <w:rFonts w:ascii="DejaVu Serif" w:hAnsi="DejaVu Serif"/>
        </w:rPr>
      </w:pPr>
      <w:r>
        <w:rPr/>
        <w:t>to exercise any right or remedy against any other guarantor of, or collateral securing, any Secured Obligations;</w:t>
      </w:r>
    </w:p>
    <w:p>
      <w:pPr>
        <w:pStyle w:val="AWGNumberedListAlt3"/>
        <w:numPr>
          <w:ilvl w:val="3"/>
          <w:numId w:val="3"/>
        </w:numPr>
        <w:tabs>
          <w:tab w:val="clear" w:pos="720"/>
          <w:tab w:val="left" w:pos="495" w:leader="none"/>
        </w:tabs>
        <w:rPr>
          <w:rFonts w:ascii="DejaVu Serif" w:hAnsi="DejaVu Serif"/>
        </w:rPr>
      </w:pPr>
      <w:r>
        <w:rPr/>
        <w:t>any increase in the Secured Obligations, or any change in the time, manner or place of, payment of any Secured Obligations, or in any term of, or any other amendment or waiver of, or any consent to, or any departure from the GATS Security Instrument or any Finance Document;</w:t>
      </w:r>
    </w:p>
    <w:p>
      <w:pPr>
        <w:pStyle w:val="AWGNumberedListAlt3"/>
        <w:numPr>
          <w:ilvl w:val="3"/>
          <w:numId w:val="3"/>
        </w:numPr>
        <w:tabs>
          <w:tab w:val="clear" w:pos="720"/>
          <w:tab w:val="left" w:pos="480" w:leader="none"/>
        </w:tabs>
        <w:rPr>
          <w:rFonts w:ascii="DejaVu Serif" w:hAnsi="DejaVu Serif"/>
        </w:rPr>
      </w:pPr>
      <w:r>
        <w:rPr/>
        <w:t>any increase (including an increase in principal or interest rate), reduction, limitation, impairment or termination of any Secured Obligations for any reason, including amendment or any claim of waiver, release, surrender, alteration or compromise, and shall not be subject to (and the Beneficiary hereby waives any right to or claim of) any defence or setoff, counterclaim, recoupment or termination whatsoever by reason of the invalidity, illegality, non-genuineness, irregularity, compromise, unenforceability of, or any other event or occurrence affecting, any Secured Obligations or otherwise;</w:t>
      </w:r>
    </w:p>
    <w:p>
      <w:pPr>
        <w:pStyle w:val="AWGNumberedListAlt3"/>
        <w:numPr>
          <w:ilvl w:val="3"/>
          <w:numId w:val="3"/>
        </w:numPr>
        <w:tabs>
          <w:tab w:val="clear" w:pos="720"/>
          <w:tab w:val="left" w:pos="450" w:leader="none"/>
        </w:tabs>
        <w:rPr>
          <w:rFonts w:ascii="DejaVu Serif" w:hAnsi="DejaVu Serif"/>
        </w:rPr>
      </w:pPr>
      <w:r>
        <w:rPr/>
        <w:t>any amendment to, rescission, waiver, novation, supplement, extension, replacement or other modification of (in each case, however fundamental and whether or not more onerous), or any consent to departure from, any of the terms of the Secured Obligations or the GATS Security Instrument or any Finance Document;</w:t>
      </w:r>
    </w:p>
    <w:p>
      <w:pPr>
        <w:pStyle w:val="AWGNumberedListAlt3"/>
        <w:numPr>
          <w:ilvl w:val="3"/>
          <w:numId w:val="3"/>
        </w:numPr>
        <w:tabs>
          <w:tab w:val="clear" w:pos="720"/>
          <w:tab w:val="left" w:pos="450" w:leader="none"/>
        </w:tabs>
        <w:rPr>
          <w:rFonts w:ascii="DejaVu Serif" w:hAnsi="DejaVu Serif"/>
        </w:rPr>
      </w:pPr>
      <w:r>
        <w:rPr/>
        <w:t>any exchange, release or non-perfection of any other collateral, or any release or amendment or waiver of, or consent to, or departure from any provision of the GATS Security Instrument or any Finance Document;</w:t>
      </w:r>
    </w:p>
    <w:p>
      <w:pPr>
        <w:pStyle w:val="AWGNumberedListAlt3"/>
        <w:numPr>
          <w:ilvl w:val="3"/>
          <w:numId w:val="3"/>
        </w:numPr>
        <w:tabs>
          <w:tab w:val="clear" w:pos="720"/>
          <w:tab w:val="left" w:pos="465" w:leader="none"/>
        </w:tabs>
        <w:rPr>
          <w:rFonts w:ascii="DejaVu Serif" w:hAnsi="DejaVu Serif"/>
        </w:rPr>
      </w:pPr>
      <w:r>
        <w:rPr/>
        <w:t xml:space="preserve">the release of the Beneficiary under the terms of any composition or arrangement with any creditor of the Beneficiary or any other person; </w:t>
      </w:r>
    </w:p>
    <w:p>
      <w:pPr>
        <w:pStyle w:val="AWGNumberedListAlt3"/>
        <w:numPr>
          <w:ilvl w:val="3"/>
          <w:numId w:val="3"/>
        </w:numPr>
        <w:tabs>
          <w:tab w:val="clear" w:pos="720"/>
          <w:tab w:val="left" w:pos="465" w:leader="none"/>
        </w:tabs>
        <w:rPr>
          <w:rFonts w:ascii="DejaVu Serif" w:hAnsi="DejaVu Serif"/>
        </w:rPr>
      </w:pPr>
      <w:r>
        <w:rPr/>
        <w:t xml:space="preserve">any incapacity or lack of power, authority or legal personality of or dissolution or change in the members or status of the Beneficiary or any other person; </w:t>
      </w:r>
    </w:p>
    <w:p>
      <w:pPr>
        <w:pStyle w:val="AWGNumberedListAlt3"/>
        <w:numPr>
          <w:ilvl w:val="3"/>
          <w:numId w:val="3"/>
        </w:numPr>
        <w:tabs>
          <w:tab w:val="clear" w:pos="720"/>
          <w:tab w:val="left" w:pos="465" w:leader="none"/>
        </w:tabs>
        <w:rPr>
          <w:rFonts w:ascii="DejaVu Serif" w:hAnsi="DejaVu Serif"/>
        </w:rPr>
      </w:pPr>
      <w:r>
        <w:rPr/>
        <w:t>any bankruptcy or insolvency proceedings, amalgamation, examinership, administration, judicial management, reconstruction or reorganisation of the Beneficiary or any other person; or</w:t>
      </w:r>
    </w:p>
    <w:p>
      <w:pPr>
        <w:pStyle w:val="AWGNumberedListAlt3"/>
        <w:numPr>
          <w:ilvl w:val="3"/>
          <w:numId w:val="3"/>
        </w:numPr>
        <w:tabs>
          <w:tab w:val="clear" w:pos="720"/>
          <w:tab w:val="left" w:pos="465" w:leader="none"/>
        </w:tabs>
        <w:rPr>
          <w:rFonts w:ascii="DejaVu Serif" w:hAnsi="DejaVu Serif"/>
        </w:rPr>
      </w:pPr>
      <w:r>
        <w:rPr/>
        <w:t>any other circumstances which might otherwise constitute a defence available to, or a legal or equitable discharge of, the Beneficiary, any surety or any guarantor.</w:t>
      </w:r>
    </w:p>
    <w:p>
      <w:pPr>
        <w:pStyle w:val="AWGNumberedList2"/>
        <w:numPr>
          <w:ilvl w:val="1"/>
          <w:numId w:val="3"/>
        </w:numPr>
        <w:rPr>
          <w:rFonts w:ascii="DejaVu Serif" w:hAnsi="DejaVu Serif"/>
        </w:rPr>
      </w:pPr>
      <w:r>
        <w:rPr/>
        <w:t>Continuing security</w:t>
      </w:r>
    </w:p>
    <w:p>
      <w:pPr>
        <w:pStyle w:val="AWGNumberedListAlt3"/>
        <w:numPr>
          <w:ilvl w:val="3"/>
          <w:numId w:val="3"/>
        </w:numPr>
        <w:tabs>
          <w:tab w:val="clear" w:pos="720"/>
          <w:tab w:val="left" w:pos="480" w:leader="none"/>
        </w:tabs>
        <w:rPr>
          <w:rFonts w:ascii="DejaVu Serif" w:hAnsi="DejaVu Serif"/>
        </w:rPr>
      </w:pPr>
      <w:r>
        <w:rPr/>
        <w:t xml:space="preserve">The security constituted by the GATS Security Instrument: </w:t>
      </w:r>
    </w:p>
    <w:p>
      <w:pPr>
        <w:pStyle w:val="AWGNumberedListAlt4"/>
        <w:numPr>
          <w:ilvl w:val="5"/>
          <w:numId w:val="3"/>
        </w:numPr>
        <w:tabs>
          <w:tab w:val="clear" w:pos="720"/>
          <w:tab w:val="left" w:pos="915" w:leader="none"/>
        </w:tabs>
        <w:rPr>
          <w:rFonts w:ascii="DejaVu Serif" w:hAnsi="DejaVu Serif"/>
        </w:rPr>
      </w:pPr>
      <w:r>
        <w:rPr/>
        <w:t>is a continuing security and will extend to the ultimate balance of the Secured Obligations until released, discharged and reassigned by the Secured Party in accordance with the terms of the GATS Security Instrument;</w:t>
      </w:r>
    </w:p>
    <w:p>
      <w:pPr>
        <w:pStyle w:val="AWGNumberedListAlt4"/>
        <w:numPr>
          <w:ilvl w:val="5"/>
          <w:numId w:val="3"/>
        </w:numPr>
        <w:tabs>
          <w:tab w:val="clear" w:pos="720"/>
          <w:tab w:val="left" w:pos="915" w:leader="none"/>
        </w:tabs>
        <w:rPr>
          <w:rFonts w:ascii="DejaVu Serif" w:hAnsi="DejaVu Serif"/>
        </w:rPr>
      </w:pPr>
      <w:r>
        <w:rPr/>
        <w:t>will not be considered satisfied or discharged by any intermediate repayment or satisfaction of all or any part of the Secured Obligations; and</w:t>
      </w:r>
    </w:p>
    <w:p>
      <w:pPr>
        <w:pStyle w:val="AWGNumberedListAlt4"/>
        <w:numPr>
          <w:ilvl w:val="5"/>
          <w:numId w:val="3"/>
        </w:numPr>
        <w:tabs>
          <w:tab w:val="clear" w:pos="720"/>
          <w:tab w:val="left" w:pos="915" w:leader="none"/>
        </w:tabs>
        <w:rPr>
          <w:rFonts w:ascii="DejaVu Serif" w:hAnsi="DejaVu Serif"/>
        </w:rPr>
      </w:pPr>
      <w:r>
        <w:rPr/>
        <w:t>takes effect without prejudice to any other Security Interest granted in the Collateral by the Beneficiary in favour of the Secured Party pursuant to any other Finance Document.</w:t>
      </w:r>
    </w:p>
    <w:p>
      <w:pPr>
        <w:pStyle w:val="AWGNumberedListAlt3"/>
        <w:numPr>
          <w:ilvl w:val="3"/>
          <w:numId w:val="3"/>
        </w:numPr>
        <w:tabs>
          <w:tab w:val="clear" w:pos="720"/>
          <w:tab w:val="left" w:pos="480" w:leader="none"/>
        </w:tabs>
        <w:rPr>
          <w:rFonts w:ascii="DejaVu Serif" w:hAnsi="DejaVu Serif"/>
        </w:rPr>
      </w:pPr>
      <w:r>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pPr>
        <w:pStyle w:val="AWGNumberedList2"/>
        <w:numPr>
          <w:ilvl w:val="1"/>
          <w:numId w:val="3"/>
        </w:numPr>
        <w:rPr>
          <w:rFonts w:ascii="DejaVu Serif" w:hAnsi="DejaVu Serif"/>
        </w:rPr>
      </w:pPr>
      <w:r>
        <w:rPr/>
        <w:t xml:space="preserve">Reinstatement </w:t>
      </w:r>
    </w:p>
    <w:p>
      <w:pPr>
        <w:pStyle w:val="AWGBodyText1"/>
        <w:rPr>
          <w:rFonts w:ascii="DejaVu Serif" w:hAnsi="DejaVu Serif"/>
        </w:rPr>
      </w:pPr>
      <w:r>
        <w:rPr/>
        <w:t xml:space="preserve">If any payment obligation of the Beneficiary, the Trustee or any other obligor under the Secured Obligations, or any discharge given by the Secured Party in respect of the Secured Obligations, is avoided or reduced as a result of bankruptcy, examinership, administration, judicial management, insolvency, any similar event or otherwise: </w:t>
      </w:r>
    </w:p>
    <w:p>
      <w:pPr>
        <w:pStyle w:val="AWGNumberedListAlt3"/>
        <w:numPr>
          <w:ilvl w:val="3"/>
          <w:numId w:val="3"/>
        </w:numPr>
        <w:tabs>
          <w:tab w:val="clear" w:pos="720"/>
          <w:tab w:val="left" w:pos="450" w:leader="none"/>
        </w:tabs>
        <w:rPr>
          <w:rFonts w:ascii="DejaVu Serif" w:hAnsi="DejaVu Serif"/>
        </w:rPr>
      </w:pPr>
      <w:r>
        <w:rPr/>
        <w:t>the liability of the Beneficiary, the Trustee or such obligor, as applicable, in respect of such payment, discharge, avoidance or reduction, and any Security Interest that was released, discharged and reassigned as a result of such payment, discharge, avoidance or reduction, shall be reinstated and continue as if such payment, discharge, avoidance or reduction had not occurred; and</w:t>
      </w:r>
    </w:p>
    <w:p>
      <w:pPr>
        <w:pStyle w:val="AWGNumberedListAlt3"/>
        <w:numPr>
          <w:ilvl w:val="3"/>
          <w:numId w:val="3"/>
        </w:numPr>
        <w:tabs>
          <w:tab w:val="clear" w:pos="720"/>
          <w:tab w:val="left" w:pos="435" w:leader="none"/>
        </w:tabs>
        <w:rPr>
          <w:rFonts w:ascii="DejaVu Serif" w:hAnsi="DejaVu Serif"/>
        </w:rPr>
      </w:pPr>
      <w:r>
        <w:rPr/>
        <w:t xml:space="preserve">the Secured Party shall be entitled to recover the amount of such payment from the Beneficiary, the Trustee or such obligor, as applicable (and the liability to pay such amount shall form part of the Secured Obligations), as if the payment, discharge, avoidance or reduction had not occurred. </w:t>
      </w:r>
    </w:p>
    <w:p>
      <w:pPr>
        <w:pStyle w:val="AWGNumberedList1"/>
        <w:numPr>
          <w:ilvl w:val="0"/>
          <w:numId w:val="3"/>
        </w:numPr>
        <w:jc w:val="left"/>
        <w:rPr>
          <w:rFonts w:ascii="DejaVu Serif" w:hAnsi="DejaVu Serif"/>
        </w:rPr>
      </w:pPr>
      <w:r>
        <w:rPr/>
        <w:t>REPRESENTATIONS, WARRANTIES AND COVENANTS</w:t>
      </w:r>
    </w:p>
    <w:p>
      <w:pPr>
        <w:pStyle w:val="AWGNumberedList2"/>
        <w:numPr>
          <w:ilvl w:val="1"/>
          <w:numId w:val="3"/>
        </w:numPr>
        <w:rPr>
          <w:rFonts w:ascii="DejaVu Serif" w:hAnsi="DejaVu Serif"/>
        </w:rPr>
      </w:pPr>
      <w:bookmarkStart w:id="14" w:name="_Ref534737226"/>
      <w:r>
        <w:rPr/>
        <w:t>Representations and Warranties of the Beneficiary</w:t>
      </w:r>
      <w:bookmarkEnd w:id="14"/>
    </w:p>
    <w:p>
      <w:pPr>
        <w:pStyle w:val="AWGBodyText1"/>
        <w:rPr>
          <w:rFonts w:ascii="DejaVu Serif" w:hAnsi="DejaVu Serif"/>
        </w:rPr>
      </w:pPr>
      <w:r>
        <w:rPr/>
        <w:t>The Beneficiary hereby makes the following representations and warranties in favour of the Secured Party on the date of the GATS Security Instrument.</w:t>
      </w:r>
    </w:p>
    <w:p>
      <w:pPr>
        <w:pStyle w:val="AWGNumberedListAlt3"/>
        <w:numPr>
          <w:ilvl w:val="3"/>
          <w:numId w:val="3"/>
        </w:numPr>
        <w:tabs>
          <w:tab w:val="clear" w:pos="720"/>
          <w:tab w:val="left" w:pos="435" w:leader="none"/>
        </w:tabs>
        <w:rPr>
          <w:rFonts w:ascii="DejaVu Serif" w:hAnsi="DejaVu Serif"/>
        </w:rPr>
      </w:pPr>
      <w:r>
        <w:rPr/>
        <w:t>Status</w:t>
      </w:r>
    </w:p>
    <w:p>
      <w:pPr>
        <w:pStyle w:val="AWGBodyText1"/>
        <w:rPr>
          <w:rFonts w:ascii="DejaVu Serif" w:hAnsi="DejaVu Serif"/>
        </w:rPr>
      </w:pPr>
      <w:r>
        <w:rPr/>
        <w:t>It is an entity of the type specified in the corresponding box under ‘Beneficiary’ in schedule 2 (</w:t>
      </w:r>
      <w:r>
        <w:rPr>
          <w:i/>
        </w:rPr>
        <w:t>Party Details</w:t>
      </w:r>
      <w:r>
        <w:rPr/>
        <w:t>) to the GATS Security Instrument and is duly incorporated, formed or organised and validly existing under the law of its jurisdiction of incorporation, formation or organisation.</w:t>
      </w:r>
    </w:p>
    <w:p>
      <w:pPr>
        <w:pStyle w:val="AWGNumberedListAlt3"/>
        <w:numPr>
          <w:ilvl w:val="3"/>
          <w:numId w:val="3"/>
        </w:numPr>
        <w:tabs>
          <w:tab w:val="clear" w:pos="720"/>
          <w:tab w:val="left" w:pos="450" w:leader="none"/>
        </w:tabs>
        <w:rPr>
          <w:rFonts w:ascii="DejaVu Serif" w:hAnsi="DejaVu Serif"/>
        </w:rPr>
      </w:pPr>
      <w:r>
        <w:rPr/>
        <w:t>Power and Authority</w:t>
      </w:r>
    </w:p>
    <w:p>
      <w:pPr>
        <w:pStyle w:val="AWGBodyText1"/>
        <w:rPr>
          <w:rFonts w:ascii="DejaVu Serif" w:hAnsi="DejaVu Serif"/>
        </w:rPr>
      </w:pPr>
      <w:r>
        <w:rPr/>
        <w:t>It has the power to enter into, perform and deliver, and has taken all necessary action to authorise its entry into, performance and delivery of each GATS Security Document to which it is a party and each Trust Document to which it is a party, and the transactions contemplated by each such GATS Security Document and each such Trust Document.</w:t>
      </w:r>
    </w:p>
    <w:p>
      <w:pPr>
        <w:pStyle w:val="AWGNumberedListAlt3"/>
        <w:numPr>
          <w:ilvl w:val="3"/>
          <w:numId w:val="3"/>
        </w:numPr>
        <w:tabs>
          <w:tab w:val="clear" w:pos="720"/>
          <w:tab w:val="left" w:pos="435" w:leader="none"/>
        </w:tabs>
        <w:rPr>
          <w:rFonts w:ascii="DejaVu Serif" w:hAnsi="DejaVu Serif"/>
        </w:rPr>
      </w:pPr>
      <w:r>
        <w:rPr/>
        <w:t>Execution and Delivery</w:t>
      </w:r>
    </w:p>
    <w:p>
      <w:pPr>
        <w:pStyle w:val="AWGBodyText1"/>
        <w:rPr>
          <w:rFonts w:ascii="DejaVu Serif" w:hAnsi="DejaVu Serif"/>
        </w:rPr>
      </w:pPr>
      <w:r>
        <w:rPr/>
        <w:t>Each GATS Security Document and each Trust Document to which the Beneficiary is a party has been duly executed and delivered by one or more signatories duly authorised to execute and deliver such GATS Security Document or such Trust Document for it or on its behalf.</w:t>
      </w:r>
    </w:p>
    <w:p>
      <w:pPr>
        <w:pStyle w:val="AWGNumberedListAlt3"/>
        <w:numPr>
          <w:ilvl w:val="3"/>
          <w:numId w:val="3"/>
        </w:numPr>
        <w:tabs>
          <w:tab w:val="clear" w:pos="720"/>
          <w:tab w:val="left" w:pos="495" w:leader="none"/>
        </w:tabs>
        <w:rPr>
          <w:rFonts w:ascii="DejaVu Serif" w:hAnsi="DejaVu Serif"/>
        </w:rPr>
      </w:pPr>
      <w:r>
        <w:rPr/>
        <w:t>Binding Obligations</w:t>
      </w:r>
    </w:p>
    <w:p>
      <w:pPr>
        <w:pStyle w:val="AWGBodyText1"/>
        <w:rPr>
          <w:rFonts w:ascii="DejaVu Serif" w:hAnsi="DejaVu Serif"/>
        </w:rPr>
      </w:pPr>
      <w:r>
        <w:rPr/>
        <w:t>The obligations expressed to be assumed by it under each GATS Security Document to which it is a party and each Trust Document to which it is a party are legal, valid and binding obligations, enforceable against it in accordance with its terms, subject to any general principles of law limiting its obligations which are specifically referred to (or cross-referred to by reference to another document) in any Finance Document as expressly limiting the application of this representation and warranty.</w:t>
      </w:r>
    </w:p>
    <w:p>
      <w:pPr>
        <w:pStyle w:val="AWGNumberedListAlt3"/>
        <w:numPr>
          <w:ilvl w:val="3"/>
          <w:numId w:val="3"/>
        </w:numPr>
        <w:tabs>
          <w:tab w:val="clear" w:pos="720"/>
          <w:tab w:val="left" w:pos="480" w:leader="none"/>
        </w:tabs>
        <w:rPr>
          <w:rFonts w:ascii="DejaVu Serif" w:hAnsi="DejaVu Serif"/>
        </w:rPr>
      </w:pPr>
      <w:r>
        <w:rPr/>
        <w:t>No Conflict</w:t>
      </w:r>
    </w:p>
    <w:p>
      <w:pPr>
        <w:pStyle w:val="AWGBodyText1"/>
        <w:rPr>
          <w:rFonts w:ascii="DejaVu Serif" w:hAnsi="DejaVu Serif"/>
        </w:rPr>
      </w:pPr>
      <w:r>
        <w:rPr/>
        <w:t>The entry into and performance by it of, and the transactions contemplated by, each GATS Security Document to which it is a party and each Trust Document to which it is a party do not and will not conflict with:</w:t>
      </w:r>
    </w:p>
    <w:p>
      <w:pPr>
        <w:pStyle w:val="AWGNumberedListAlt4"/>
        <w:numPr>
          <w:ilvl w:val="5"/>
          <w:numId w:val="3"/>
        </w:numPr>
        <w:tabs>
          <w:tab w:val="clear" w:pos="720"/>
          <w:tab w:val="left" w:pos="900" w:leader="none"/>
        </w:tabs>
        <w:rPr>
          <w:rFonts w:ascii="DejaVu Serif" w:hAnsi="DejaVu Serif"/>
        </w:rPr>
      </w:pPr>
      <w:r>
        <w:rPr/>
        <w:t>any law or regulation applicable to it;</w:t>
      </w:r>
    </w:p>
    <w:p>
      <w:pPr>
        <w:pStyle w:val="AWGNumberedListAlt4"/>
        <w:numPr>
          <w:ilvl w:val="5"/>
          <w:numId w:val="3"/>
        </w:numPr>
        <w:tabs>
          <w:tab w:val="clear" w:pos="720"/>
          <w:tab w:val="left" w:pos="930" w:leader="none"/>
        </w:tabs>
        <w:rPr>
          <w:rFonts w:ascii="DejaVu Serif" w:hAnsi="DejaVu Serif"/>
        </w:rPr>
      </w:pPr>
      <w:r>
        <w:rPr/>
        <w:t>its constitutional documents; or</w:t>
      </w:r>
    </w:p>
    <w:p>
      <w:pPr>
        <w:pStyle w:val="AWGNumberedListAlt4"/>
        <w:numPr>
          <w:ilvl w:val="5"/>
          <w:numId w:val="3"/>
        </w:numPr>
        <w:tabs>
          <w:tab w:val="clear" w:pos="720"/>
          <w:tab w:val="left" w:pos="915" w:leader="none"/>
        </w:tabs>
        <w:rPr>
          <w:rFonts w:ascii="DejaVu Serif" w:hAnsi="DejaVu Serif"/>
        </w:rPr>
      </w:pPr>
      <w:r>
        <w:rPr/>
        <w:t>any agreement, instrument or other document binding upon it or any of its assets.</w:t>
      </w:r>
    </w:p>
    <w:p>
      <w:pPr>
        <w:pStyle w:val="AWGNumberedListAlt3"/>
        <w:numPr>
          <w:ilvl w:val="3"/>
          <w:numId w:val="3"/>
        </w:numPr>
        <w:tabs>
          <w:tab w:val="clear" w:pos="720"/>
          <w:tab w:val="left" w:pos="870" w:leader="none"/>
        </w:tabs>
        <w:rPr>
          <w:rFonts w:ascii="DejaVu Serif" w:hAnsi="DejaVu Serif"/>
        </w:rPr>
      </w:pPr>
      <w:r>
        <w:rPr/>
        <w:t>No Consents</w:t>
      </w:r>
    </w:p>
    <w:p>
      <w:pPr>
        <w:pStyle w:val="AWGBodyText1"/>
        <w:rPr>
          <w:rFonts w:ascii="DejaVu Serif" w:hAnsi="DejaVu Serif"/>
        </w:rPr>
      </w:pPr>
      <w:r>
        <w:rPr/>
        <w:t>Except as specifically provided in any Finance Document:</w:t>
      </w:r>
    </w:p>
    <w:p>
      <w:pPr>
        <w:pStyle w:val="AWGNumberedListAlt4"/>
        <w:numPr>
          <w:ilvl w:val="5"/>
          <w:numId w:val="3"/>
        </w:numPr>
        <w:tabs>
          <w:tab w:val="clear" w:pos="720"/>
          <w:tab w:val="left" w:pos="930" w:leader="none"/>
        </w:tabs>
        <w:rPr>
          <w:rFonts w:ascii="DejaVu Serif" w:hAnsi="DejaVu Serif"/>
        </w:rPr>
      </w:pPr>
      <w:r>
        <w:rPr/>
        <w:t>no consent or approval of any person or any Governmental Authority is required, or is purported to be required, in connection with the execution, delivery and performance of each GATS Security Document to which it is a party and each Trust Document to which it is a party; and</w:t>
      </w:r>
    </w:p>
    <w:p>
      <w:pPr>
        <w:pStyle w:val="AWGNumberedListAlt4"/>
        <w:numPr>
          <w:ilvl w:val="5"/>
          <w:numId w:val="3"/>
        </w:numPr>
        <w:tabs>
          <w:tab w:val="clear" w:pos="720"/>
          <w:tab w:val="left" w:pos="900" w:leader="none"/>
        </w:tabs>
        <w:rPr>
          <w:rFonts w:ascii="DejaVu Serif" w:hAnsi="DejaVu Serif"/>
        </w:rPr>
      </w:pPr>
      <w:r>
        <w:rPr/>
        <w:t>no defence, offset, counterclaim or claim which would materially adversely affect the value of the Collateral have been asserted or alleged against the Beneficiary.</w:t>
      </w:r>
    </w:p>
    <w:p>
      <w:pPr>
        <w:pStyle w:val="AWGNumberedListAlt3"/>
        <w:numPr>
          <w:ilvl w:val="3"/>
          <w:numId w:val="3"/>
        </w:numPr>
        <w:tabs>
          <w:tab w:val="clear" w:pos="720"/>
          <w:tab w:val="left" w:pos="450" w:leader="none"/>
        </w:tabs>
        <w:rPr>
          <w:rFonts w:ascii="DejaVu Serif" w:hAnsi="DejaVu Serif"/>
        </w:rPr>
      </w:pPr>
      <w:r>
        <w:rPr/>
        <w:t>Ownership; no Security Interests</w:t>
      </w:r>
    </w:p>
    <w:p>
      <w:pPr>
        <w:pStyle w:val="AWGBodyText1"/>
        <w:rPr>
          <w:rFonts w:ascii="DejaVu Serif" w:hAnsi="DejaVu Serif"/>
        </w:rPr>
      </w:pPr>
      <w:r>
        <w:rPr/>
        <w:t>It owns all of the Pledged Beneficial Interest and, except to the extent only a portion of the Beneficial Interest has been assigned and transferred to the Beneficiary pursuant to any GATS Transfer Instrument executed and delivered prior to the time the GATS Security Instrument took effect, no person other than the Beneficiary holds any beneficial interest in the Trust Estate or is a beneficiary of the GATS Trust and, except for Permitted Security Interests, it has not granted any Security Interest in the Collateral that has not been released, discharged and reassigned prior to the time the GATS Security Instrument took effect.</w:t>
      </w:r>
    </w:p>
    <w:p>
      <w:pPr>
        <w:pStyle w:val="AWGNumberedListAlt3"/>
        <w:numPr>
          <w:ilvl w:val="3"/>
          <w:numId w:val="3"/>
        </w:numPr>
        <w:tabs>
          <w:tab w:val="clear" w:pos="720"/>
          <w:tab w:val="left" w:pos="480" w:leader="none"/>
        </w:tabs>
        <w:rPr>
          <w:rFonts w:ascii="DejaVu Serif" w:hAnsi="DejaVu Serif"/>
        </w:rPr>
      </w:pPr>
      <w:r>
        <w:rPr/>
        <w:t>Repetition</w:t>
      </w:r>
    </w:p>
    <w:p>
      <w:pPr>
        <w:pStyle w:val="AWGBodyText1"/>
        <w:rPr/>
      </w:pPr>
      <w:r>
        <w:rPr/>
        <w:t xml:space="preserve">Each of the representations and warranties given by the Beneficiary pursuant to this Section </w:t>
      </w:r>
      <w:r>
        <w:rPr/>
        <w:fldChar w:fldCharType="begin"/>
      </w:r>
      <w:r>
        <w:rPr/>
        <w:instrText> REF _Ref534737226 \w \h </w:instrText>
      </w:r>
      <w:r>
        <w:rPr/>
        <w:fldChar w:fldCharType="separate"/>
      </w:r>
      <w:r>
        <w:rPr/>
        <w:t>4.1</w:t>
      </w:r>
      <w:r>
        <w:rPr/>
        <w:fldChar w:fldCharType="end"/>
      </w:r>
      <w:r>
        <w:rPr/>
        <w:t xml:space="preserve"> is deemed to be repeated as of the date of each GATS Amendment Instrument, by reference to the facts and circumstances existing at such time.</w:t>
      </w:r>
    </w:p>
    <w:p>
      <w:pPr>
        <w:pStyle w:val="AWGNumberedList2"/>
        <w:numPr>
          <w:ilvl w:val="1"/>
          <w:numId w:val="3"/>
        </w:numPr>
        <w:rPr>
          <w:rFonts w:ascii="DejaVu Serif" w:hAnsi="DejaVu Serif"/>
        </w:rPr>
      </w:pPr>
      <w:r>
        <w:rPr/>
        <w:t>Beneficiary Covenants</w:t>
      </w:r>
    </w:p>
    <w:p>
      <w:pPr>
        <w:pStyle w:val="AWGBodyText1"/>
        <w:rPr/>
      </w:pPr>
      <w:r>
        <w:rPr/>
        <w:t xml:space="preserve">The Beneficiary makes the following covenants for the benefit of the Secured Party which shall remain in force at all times from and including the date of the GATS Security Instrument until the Security Interest assigned, charged and granted pursuant to the GATS Security Instrument is released, discharged and reassigned in accordance with Section </w:t>
      </w:r>
      <w:r>
        <w:rPr/>
        <w:fldChar w:fldCharType="begin"/>
      </w:r>
      <w:r>
        <w:rPr/>
        <w:instrText> REF _Ref527127922 \r \h </w:instrText>
      </w:r>
      <w:r>
        <w:rPr/>
        <w:fldChar w:fldCharType="separate"/>
      </w:r>
      <w:r>
        <w:rPr/>
        <w:t>9</w:t>
      </w:r>
      <w:r>
        <w:rPr/>
        <w:fldChar w:fldCharType="end"/>
      </w:r>
      <w:r>
        <w:rPr/>
        <w:t>.</w:t>
      </w:r>
    </w:p>
    <w:p>
      <w:pPr>
        <w:pStyle w:val="AWGNumberedListAlt3"/>
        <w:numPr>
          <w:ilvl w:val="3"/>
          <w:numId w:val="3"/>
        </w:numPr>
        <w:tabs>
          <w:tab w:val="clear" w:pos="720"/>
          <w:tab w:val="left" w:pos="435" w:leader="none"/>
        </w:tabs>
        <w:rPr>
          <w:rFonts w:ascii="DejaVu Serif" w:hAnsi="DejaVu Serif"/>
        </w:rPr>
      </w:pPr>
      <w:r>
        <w:rPr/>
        <w:t>Ownership; no Security Interests</w:t>
      </w:r>
    </w:p>
    <w:p>
      <w:pPr>
        <w:pStyle w:val="AWGBodyText1"/>
        <w:rPr>
          <w:rFonts w:ascii="DejaVu Serif" w:hAnsi="DejaVu Serif"/>
        </w:rPr>
      </w:pPr>
      <w:r>
        <w:rPr/>
        <w:t>Except to the extent constituting a Permitted Action, it shall not:</w:t>
      </w:r>
    </w:p>
    <w:p>
      <w:pPr>
        <w:pStyle w:val="AWGNumberedListAlt4"/>
        <w:numPr>
          <w:ilvl w:val="5"/>
          <w:numId w:val="3"/>
        </w:numPr>
        <w:tabs>
          <w:tab w:val="clear" w:pos="720"/>
          <w:tab w:val="left" w:pos="900" w:leader="none"/>
        </w:tabs>
        <w:rPr>
          <w:rFonts w:ascii="DejaVu Serif" w:hAnsi="DejaVu Serif"/>
        </w:rPr>
      </w:pPr>
      <w:r>
        <w:rPr/>
        <w:t>either in a single transaction or in a series of transactions and whether related or not, Dispose of all or any part of the Collateral or any interest in the Collateral (including any assignment or transfer of the Pledged Beneficial Interest), or enter into any agreement restricting its right or the right of the Secured Party to do so; or</w:t>
      </w:r>
    </w:p>
    <w:p>
      <w:pPr>
        <w:pStyle w:val="AWGNumberedListAlt4"/>
        <w:numPr>
          <w:ilvl w:val="5"/>
          <w:numId w:val="3"/>
        </w:numPr>
        <w:tabs>
          <w:tab w:val="clear" w:pos="720"/>
          <w:tab w:val="left" w:pos="885" w:leader="none"/>
        </w:tabs>
        <w:rPr>
          <w:rFonts w:ascii="DejaVu Serif" w:hAnsi="DejaVu Serif"/>
        </w:rPr>
      </w:pPr>
      <w:r>
        <w:rPr/>
        <w:t>create or allow to exist any Security Interest over any of the Collateral except for any Permitted Security Interests, and it shall promptly take such action as may be necessary to discharge duly any such Security Interest.</w:t>
      </w:r>
    </w:p>
    <w:p>
      <w:pPr>
        <w:pStyle w:val="AWGNumberedListAlt3"/>
        <w:numPr>
          <w:ilvl w:val="3"/>
          <w:numId w:val="3"/>
        </w:numPr>
        <w:tabs>
          <w:tab w:val="clear" w:pos="720"/>
          <w:tab w:val="left" w:pos="495" w:leader="none"/>
        </w:tabs>
        <w:rPr>
          <w:rFonts w:ascii="DejaVu Serif" w:hAnsi="DejaVu Serif"/>
        </w:rPr>
      </w:pPr>
      <w:r>
        <w:rPr/>
        <w:t>Amendments to Trust Documents</w:t>
      </w:r>
    </w:p>
    <w:p>
      <w:pPr>
        <w:pStyle w:val="AWGBodyText1"/>
        <w:rPr>
          <w:rFonts w:ascii="DejaVu Serif" w:hAnsi="DejaVu Serif"/>
        </w:rPr>
      </w:pPr>
      <w:r>
        <w:rPr/>
        <w:t>Except to the extent constituting a Permitted Action, it shall not amend or modify, or enter into any agreement which has the effect of amending or modifying, any Trust Document or otherwise execute any Trust Document.</w:t>
      </w:r>
    </w:p>
    <w:p>
      <w:pPr>
        <w:pStyle w:val="AWGNumberedListAlt3"/>
        <w:numPr>
          <w:ilvl w:val="3"/>
          <w:numId w:val="3"/>
        </w:numPr>
        <w:tabs>
          <w:tab w:val="clear" w:pos="720"/>
          <w:tab w:val="left" w:pos="465" w:leader="none"/>
        </w:tabs>
        <w:rPr>
          <w:rFonts w:ascii="DejaVu Serif" w:hAnsi="DejaVu Serif"/>
        </w:rPr>
      </w:pPr>
      <w:r>
        <w:rPr/>
        <w:t>Termination of GATS Trust</w:t>
      </w:r>
    </w:p>
    <w:p>
      <w:pPr>
        <w:pStyle w:val="AWGBodyText1"/>
        <w:rPr>
          <w:rFonts w:ascii="DejaVu Serif" w:hAnsi="DejaVu Serif"/>
        </w:rPr>
      </w:pPr>
      <w:r>
        <w:rPr/>
        <w:t>Except to the extent constituting a Permitted Action, it shall not enter into any GATS Termination Instrument or otherwise agree to the termination of the GATS Trust.</w:t>
      </w:r>
    </w:p>
    <w:p>
      <w:pPr>
        <w:pStyle w:val="AWGNumberedListAlt3"/>
        <w:numPr>
          <w:ilvl w:val="3"/>
          <w:numId w:val="3"/>
        </w:numPr>
        <w:tabs>
          <w:tab w:val="clear" w:pos="720"/>
          <w:tab w:val="left" w:pos="435" w:leader="none"/>
        </w:tabs>
        <w:rPr>
          <w:rFonts w:ascii="DejaVu Serif" w:hAnsi="DejaVu Serif"/>
        </w:rPr>
      </w:pPr>
      <w:r>
        <w:rPr/>
        <w:t>Charge Filing with the Accounting and Corporate Regulatory Authority of Singapore</w:t>
      </w:r>
    </w:p>
    <w:p>
      <w:pPr>
        <w:pStyle w:val="AWGBodyText1"/>
        <w:rPr>
          <w:rFonts w:ascii="DejaVu Serif" w:hAnsi="DejaVu Serif"/>
        </w:rPr>
      </w:pPr>
      <w:r>
        <w:rPr/>
        <w:t>The Beneficiary shall ensure that a statement containing the particulars of the charge created by the GATS Security Instrument in the prescribed form be registered with the Accounting and Corporate Regulatory Authority of Singapore within 30 days of the date of the GATS Security Instrument.</w:t>
      </w:r>
    </w:p>
    <w:p>
      <w:pPr>
        <w:pStyle w:val="AWGNumberedList2"/>
        <w:numPr>
          <w:ilvl w:val="1"/>
          <w:numId w:val="3"/>
        </w:numPr>
        <w:rPr>
          <w:rFonts w:ascii="DejaVu Serif" w:hAnsi="DejaVu Serif"/>
        </w:rPr>
      </w:pPr>
      <w:bookmarkStart w:id="15" w:name="_Ref527128414"/>
      <w:bookmarkStart w:id="16" w:name="_Ref32232528"/>
      <w:r>
        <w:rPr/>
        <w:t>Trustee General Covenants</w:t>
      </w:r>
      <w:bookmarkEnd w:id="15"/>
      <w:bookmarkEnd w:id="16"/>
    </w:p>
    <w:p>
      <w:pPr>
        <w:pStyle w:val="AWGBodyText1"/>
        <w:rPr/>
      </w:pPr>
      <w:r>
        <w:rPr/>
        <w:t xml:space="preserve">Unless this Section </w:t>
      </w:r>
      <w:r>
        <w:rPr/>
        <w:fldChar w:fldCharType="begin"/>
      </w:r>
      <w:r>
        <w:rPr/>
        <w:instrText> REF _Ref32232528 \r \h </w:instrText>
      </w:r>
      <w:r>
        <w:rPr/>
        <w:fldChar w:fldCharType="separate"/>
      </w:r>
      <w:r>
        <w:rPr/>
        <w:t>4.3</w:t>
      </w:r>
      <w:r>
        <w:rPr/>
        <w:fldChar w:fldCharType="end"/>
      </w:r>
      <w:r>
        <w:rPr/>
        <w:t xml:space="preserve"> is expressly disapplied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Pr/>
        <w:fldChar w:fldCharType="begin"/>
      </w:r>
      <w:r>
        <w:rPr/>
        <w:instrText> REF _Ref527127922 \r \h </w:instrText>
      </w:r>
      <w:r>
        <w:rPr/>
        <w:fldChar w:fldCharType="separate"/>
      </w:r>
      <w:r>
        <w:rPr/>
        <w:t>9</w:t>
      </w:r>
      <w:r>
        <w:rPr/>
        <w:fldChar w:fldCharType="end"/>
      </w:r>
      <w:r>
        <w:rPr/>
        <w:t>.</w:t>
      </w:r>
    </w:p>
    <w:p>
      <w:pPr>
        <w:pStyle w:val="AWGNumberedListAlt3"/>
        <w:numPr>
          <w:ilvl w:val="3"/>
          <w:numId w:val="3"/>
        </w:numPr>
        <w:tabs>
          <w:tab w:val="clear" w:pos="720"/>
          <w:tab w:val="left" w:pos="540" w:leader="none"/>
        </w:tabs>
        <w:rPr>
          <w:rFonts w:ascii="DejaVu Serif" w:hAnsi="DejaVu Serif"/>
        </w:rPr>
      </w:pPr>
      <w:r>
        <w:rPr/>
        <w:t>Information Covenant</w:t>
      </w:r>
    </w:p>
    <w:p>
      <w:pPr>
        <w:pStyle w:val="AWGBodyText1"/>
        <w:rPr>
          <w:rFonts w:ascii="DejaVu Serif" w:hAnsi="DejaVu Serif"/>
        </w:rPr>
      </w:pPr>
      <w:r>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6.2(e) of the Trust Instrument Master Terms.</w:t>
      </w:r>
    </w:p>
    <w:p>
      <w:pPr>
        <w:pStyle w:val="AWGNumberedListAlt3"/>
        <w:numPr>
          <w:ilvl w:val="3"/>
          <w:numId w:val="3"/>
        </w:numPr>
        <w:tabs>
          <w:tab w:val="clear" w:pos="720"/>
          <w:tab w:val="left" w:pos="450" w:leader="none"/>
        </w:tabs>
        <w:rPr>
          <w:rFonts w:ascii="DejaVu Serif" w:hAnsi="DejaVu Serif"/>
        </w:rPr>
      </w:pPr>
      <w:r>
        <w:rPr/>
        <w:t>Amendments to Trust Documents</w:t>
      </w:r>
    </w:p>
    <w:p>
      <w:pPr>
        <w:pStyle w:val="AWGBodyText1"/>
        <w:rPr>
          <w:rFonts w:ascii="DejaVu Serif" w:hAnsi="DejaVu Serif"/>
        </w:rPr>
      </w:pPr>
      <w:r>
        <w:rPr/>
        <w:t>Except to the extent constituting a Permitted Action, it shall not amend or modify, or enter into any agreement which has the effect of amending or modifying, any Trust Document.</w:t>
      </w:r>
    </w:p>
    <w:p>
      <w:pPr>
        <w:pStyle w:val="AWGNumberedListAlt3"/>
        <w:numPr>
          <w:ilvl w:val="3"/>
          <w:numId w:val="3"/>
        </w:numPr>
        <w:tabs>
          <w:tab w:val="clear" w:pos="720"/>
          <w:tab w:val="left" w:pos="420" w:leader="none"/>
        </w:tabs>
        <w:rPr>
          <w:rFonts w:ascii="DejaVu Serif" w:hAnsi="DejaVu Serif"/>
        </w:rPr>
      </w:pPr>
      <w:r>
        <w:rPr/>
        <w:t>Termination of GATS Trust</w:t>
      </w:r>
    </w:p>
    <w:p>
      <w:pPr>
        <w:pStyle w:val="AWGBodyText1"/>
        <w:rPr>
          <w:rFonts w:ascii="DejaVu Serif" w:hAnsi="DejaVu Serif"/>
        </w:rPr>
      </w:pPr>
      <w:r>
        <w:rPr/>
        <w:t>Except to the extent constituting a Permitted Action, it shall not enter into any GATS Termination Instrument or otherwise agree to the termination of the GATS Trust.</w:t>
      </w:r>
    </w:p>
    <w:p>
      <w:pPr>
        <w:pStyle w:val="AWGNumberedList2"/>
        <w:numPr>
          <w:ilvl w:val="1"/>
          <w:numId w:val="3"/>
        </w:numPr>
        <w:rPr>
          <w:rFonts w:ascii="DejaVu Serif" w:hAnsi="DejaVu Serif"/>
        </w:rPr>
      </w:pPr>
      <w:bookmarkStart w:id="17" w:name="_Ref530059388"/>
      <w:r>
        <w:rPr/>
        <w:t>Limited Purpose Covenants</w:t>
      </w:r>
      <w:bookmarkEnd w:id="17"/>
    </w:p>
    <w:p>
      <w:pPr>
        <w:pStyle w:val="AWGBodyText1"/>
        <w:rPr/>
      </w:pPr>
      <w:r>
        <w:rPr/>
        <w:t xml:space="preserve">Unless this Section </w:t>
      </w:r>
      <w:r>
        <w:rPr/>
        <w:fldChar w:fldCharType="begin"/>
      </w:r>
      <w:r>
        <w:rPr/>
        <w:instrText> REF _Ref530059388 \r \h </w:instrText>
      </w:r>
      <w:r>
        <w:rPr/>
        <w:fldChar w:fldCharType="separate"/>
      </w:r>
      <w:r>
        <w:rPr/>
        <w:t>4.4</w:t>
      </w:r>
      <w:r>
        <w:rPr/>
        <w:fldChar w:fldCharType="end"/>
      </w:r>
      <w:r>
        <w:rPr/>
        <w:t xml:space="preserve"> is expressly disapplied as indicated in schedule 3 (</w:t>
      </w:r>
      <w:r>
        <w:rPr>
          <w:i/>
        </w:rPr>
        <w:t>Specific Information</w:t>
      </w:r>
      <w:r>
        <w:rPr/>
        <w:t xml:space="preserve">) of the GATS Security Instrument, the Trustee makes the following covenants for the benefit of the Secured Party, and the Beneficiary agrees, for the benefit of the Secured Party, that it will not instruct, direct or otherwise cause the Trustee to violate the Trustee’s covenants set forth in this Section </w:t>
      </w:r>
      <w:r>
        <w:rPr/>
        <w:fldChar w:fldCharType="begin"/>
      </w:r>
      <w:r>
        <w:rPr/>
        <w:instrText> REF _Ref530059388 \r \h </w:instrText>
      </w:r>
      <w:r>
        <w:rPr/>
        <w:fldChar w:fldCharType="separate"/>
      </w:r>
      <w:r>
        <w:rPr/>
        <w:t>4.4</w:t>
      </w:r>
      <w:r>
        <w:rPr/>
        <w:fldChar w:fldCharType="end"/>
      </w:r>
      <w:r>
        <w:rPr/>
        <w:t xml:space="preserve">. The following covenants shall remain in force at all times from and including the date of the GATS Security Instrument until the Security Interest granted pursuant to the GATS Security Instrument is released, discharged and reassigned in accordance with Section </w:t>
      </w:r>
      <w:r>
        <w:rPr/>
        <w:fldChar w:fldCharType="begin"/>
      </w:r>
      <w:r>
        <w:rPr/>
        <w:instrText> REF _Ref527127922 \r \h </w:instrText>
      </w:r>
      <w:r>
        <w:rPr/>
        <w:fldChar w:fldCharType="separate"/>
      </w:r>
      <w:r>
        <w:rPr/>
        <w:t>9</w:t>
      </w:r>
      <w:r>
        <w:rPr/>
        <w:fldChar w:fldCharType="end"/>
      </w:r>
      <w:r>
        <w:rPr/>
        <w:t>.</w:t>
      </w:r>
    </w:p>
    <w:p>
      <w:pPr>
        <w:pStyle w:val="AWGNumberedListAlt3"/>
        <w:numPr>
          <w:ilvl w:val="3"/>
          <w:numId w:val="3"/>
        </w:numPr>
        <w:tabs>
          <w:tab w:val="clear" w:pos="720"/>
          <w:tab w:val="left" w:pos="405" w:leader="none"/>
        </w:tabs>
        <w:rPr>
          <w:rFonts w:ascii="DejaVu Serif" w:hAnsi="DejaVu Serif"/>
        </w:rPr>
      </w:pPr>
      <w:r>
        <w:rPr/>
        <w:t>Except to the extent constituting a Permitted Action, the Trustee will administer the GATS Trust such that the GATS Trust shall not engage in any business or other activity.</w:t>
      </w:r>
    </w:p>
    <w:p>
      <w:pPr>
        <w:pStyle w:val="AWGNumberedListAlt3"/>
        <w:numPr>
          <w:ilvl w:val="3"/>
          <w:numId w:val="3"/>
        </w:numPr>
        <w:rPr>
          <w:rFonts w:ascii="DejaVu Serif" w:hAnsi="DejaVu Serif"/>
        </w:rPr>
      </w:pPr>
      <w:r>
        <w:rPr/>
        <w:t>Except to the extent otherwise required by applicable law, the Trustee shall not take any Material Action without the consent of the Beneficiary, and the Beneficiary agrees that it shall only give such consent in accordance with its constitutional documents or the Finance Documents if any such document contains restrictions on the Beneficiary causing the Trustee or the GATS Trust, as its ‘subsidiary’, to take Material Action.</w:t>
      </w:r>
    </w:p>
    <w:p>
      <w:pPr>
        <w:pStyle w:val="AWGNumberedListAlt3"/>
        <w:numPr>
          <w:ilvl w:val="3"/>
          <w:numId w:val="3"/>
        </w:numPr>
        <w:tabs>
          <w:tab w:val="clear" w:pos="720"/>
          <w:tab w:val="left" w:pos="465" w:leader="none"/>
        </w:tabs>
        <w:rPr/>
      </w:pPr>
      <w:r>
        <w:rPr/>
        <w:t xml:space="preserve">The Trustee shall not employ or maintain any employees other than as required by any provision of applicable law; provided that no employee of the Trust Company shall be deemed to be employees for purposes of this Section </w:t>
      </w:r>
      <w:r>
        <w:rPr/>
        <w:fldChar w:fldCharType="begin"/>
      </w:r>
      <w:r>
        <w:rPr/>
        <w:instrText> REF _Ref530059388 \r \h </w:instrText>
      </w:r>
      <w:r>
        <w:rPr/>
        <w:fldChar w:fldCharType="separate"/>
      </w:r>
      <w:r>
        <w:rPr/>
        <w:t>4.4</w:t>
      </w:r>
      <w:r>
        <w:rPr/>
        <w:fldChar w:fldCharType="end"/>
      </w:r>
      <w:r>
        <w:rPr/>
        <w:t>.</w:t>
      </w:r>
    </w:p>
    <w:p>
      <w:pPr>
        <w:pStyle w:val="AWGNumberedListAlt3"/>
        <w:numPr>
          <w:ilvl w:val="3"/>
          <w:numId w:val="3"/>
        </w:numPr>
        <w:tabs>
          <w:tab w:val="clear" w:pos="720"/>
          <w:tab w:val="left" w:pos="420" w:leader="none"/>
        </w:tabs>
        <w:rPr>
          <w:rFonts w:ascii="DejaVu Serif" w:hAnsi="DejaVu Serif"/>
        </w:rPr>
      </w:pPr>
      <w:r>
        <w:rPr/>
        <w:t>Except to the extent constituting a Permitted Action, the Trustee shall not incur any Indebtedness; provided that neither the Beneficial Interest nor any obligations owed by the Trustee or the Trust Company to the Beneficiary under any Trust Document shall constitute Indebtedness.</w:t>
      </w:r>
    </w:p>
    <w:p>
      <w:pPr>
        <w:pStyle w:val="AWGNumberedListAlt3"/>
        <w:numPr>
          <w:ilvl w:val="3"/>
          <w:numId w:val="3"/>
        </w:numPr>
        <w:tabs>
          <w:tab w:val="clear" w:pos="720"/>
          <w:tab w:val="left" w:pos="465" w:leader="none"/>
        </w:tabs>
        <w:rPr>
          <w:rFonts w:ascii="DejaVu Serif" w:hAnsi="DejaVu Serif"/>
        </w:rPr>
      </w:pPr>
      <w:r>
        <w:rPr/>
        <w:t>The Trustee will administer the GATS Trust such that the GATS Trust is a separate and readily identifiable business from, and independent of, each of the Unrelated Persons, it being understood that:</w:t>
      </w:r>
    </w:p>
    <w:p>
      <w:pPr>
        <w:pStyle w:val="AWGNumberedListAlt4"/>
        <w:numPr>
          <w:ilvl w:val="5"/>
          <w:numId w:val="3"/>
        </w:numPr>
        <w:tabs>
          <w:tab w:val="clear" w:pos="720"/>
          <w:tab w:val="left" w:pos="915" w:leader="none"/>
        </w:tabs>
        <w:rPr>
          <w:rFonts w:ascii="DejaVu Serif" w:hAnsi="DejaVu Serif"/>
        </w:rPr>
      </w:pPr>
      <w:r>
        <w:rPr/>
        <w:t>the Unrelated Persons may publish financial statements that consolidate those of the GATS Trust and the Unrelated Persons, if to do so is required by any applicable law or accounting principles from time to time in effect; and</w:t>
      </w:r>
    </w:p>
    <w:p>
      <w:pPr>
        <w:pStyle w:val="AWGNumberedListAlt4"/>
        <w:numPr>
          <w:ilvl w:val="5"/>
          <w:numId w:val="3"/>
        </w:numPr>
        <w:tabs>
          <w:tab w:val="clear" w:pos="720"/>
          <w:tab w:val="left" w:pos="885" w:leader="none"/>
        </w:tabs>
        <w:rPr>
          <w:rFonts w:ascii="DejaVu Serif" w:hAnsi="DejaVu Serif"/>
        </w:rPr>
      </w:pPr>
      <w:r>
        <w:rPr/>
        <w:t>the subsidiaries of the GATS Trust may file consolidated tax returns with any such Unrelated Person and its or the GATS Trust’s affiliates for tax purposes.</w:t>
      </w:r>
    </w:p>
    <w:p>
      <w:pPr>
        <w:pStyle w:val="AWGNumberedList1"/>
        <w:numPr>
          <w:ilvl w:val="0"/>
          <w:numId w:val="3"/>
        </w:numPr>
        <w:jc w:val="left"/>
        <w:rPr>
          <w:rFonts w:ascii="DejaVu Serif" w:hAnsi="DejaVu Serif"/>
        </w:rPr>
      </w:pPr>
      <w:bookmarkStart w:id="18" w:name="_Ref32427963"/>
      <w:bookmarkStart w:id="19" w:name="_Ref32232732"/>
      <w:bookmarkStart w:id="20" w:name="_Ref527128526"/>
      <w:r>
        <w:rPr/>
        <w:t>ENFORCEMENT</w:t>
      </w:r>
      <w:bookmarkEnd w:id="18"/>
      <w:bookmarkEnd w:id="19"/>
      <w:bookmarkEnd w:id="20"/>
    </w:p>
    <w:p>
      <w:pPr>
        <w:pStyle w:val="AWGNumberedList2"/>
        <w:numPr>
          <w:ilvl w:val="1"/>
          <w:numId w:val="3"/>
        </w:numPr>
        <w:rPr>
          <w:rFonts w:ascii="DejaVu Serif" w:hAnsi="DejaVu Serif"/>
        </w:rPr>
      </w:pPr>
      <w:r>
        <w:rPr/>
        <w:t>Remedies</w:t>
      </w:r>
    </w:p>
    <w:p>
      <w:pPr>
        <w:pStyle w:val="AWGNumberedListAlt3"/>
        <w:numPr>
          <w:ilvl w:val="3"/>
          <w:numId w:val="3"/>
        </w:numPr>
        <w:tabs>
          <w:tab w:val="clear" w:pos="720"/>
          <w:tab w:val="left" w:pos="450" w:leader="none"/>
        </w:tabs>
        <w:rPr>
          <w:rFonts w:ascii="DejaVu Serif" w:hAnsi="DejaVu Serif"/>
        </w:rPr>
      </w:pPr>
      <w:r>
        <w:rPr/>
        <w:t>Upon the occurrence and during the continuation of an Event of Default, the Secured Party may, at its option, do one, several or all of the following as the Secured Party in its sole discretion shall then elect:</w:t>
      </w:r>
    </w:p>
    <w:p>
      <w:pPr>
        <w:pStyle w:val="AWGNumberedListAlt3"/>
        <w:numPr>
          <w:ilvl w:val="5"/>
          <w:numId w:val="3"/>
        </w:numPr>
        <w:tabs>
          <w:tab w:val="clear" w:pos="720"/>
          <w:tab w:val="left" w:pos="900" w:leader="none"/>
        </w:tabs>
        <w:rPr>
          <w:rFonts w:ascii="DejaVu Serif" w:hAnsi="DejaVu Serif"/>
        </w:rPr>
      </w:pPr>
      <w:bookmarkStart w:id="21" w:name="_Ref528588421"/>
      <w:r>
        <w:rPr/>
        <w:t>upon notifying the Trustee in writing that the Security Interest assigned, charged or granted by the GATS Security Instrument has become enforceable, exercise all rights, powers, options and discretions conferred on the Beneficiary and all consents, approvals, waivers and confirmations to be given by the Beneficiary under the GATS Trust Instrument, including the right to instruct the Trustee pursuant to section 5.1 of the Trust Instrument Master Terms, and otherwise act as though it were the outright owner of all of the Pledged Beneficial Interest;</w:t>
      </w:r>
      <w:bookmarkEnd w:id="21"/>
    </w:p>
    <w:p>
      <w:pPr>
        <w:pStyle w:val="AWGNumberedListAlt3"/>
        <w:numPr>
          <w:ilvl w:val="5"/>
          <w:numId w:val="3"/>
        </w:numPr>
        <w:rPr>
          <w:rFonts w:ascii="DejaVu Serif" w:hAnsi="DejaVu Serif"/>
        </w:rPr>
      </w:pPr>
      <w:r>
        <w:rPr/>
        <w:t>without notice except as specified in Section 5.2(a) below, and subject to the restrictions on assignment and transfer specified in section 10 of the Trust Instrument Master Terms (but without prejudice to the Secured Party’s rights under Section 5.1(a)(i) above to instruct the Trustee):</w:t>
      </w:r>
    </w:p>
    <w:p>
      <w:pPr>
        <w:pStyle w:val="AWGNumberedListAlt4"/>
        <w:numPr>
          <w:ilvl w:val="7"/>
          <w:numId w:val="3"/>
        </w:numPr>
        <w:rPr>
          <w:rFonts w:ascii="DejaVu Serif" w:hAnsi="DejaVu Serif"/>
        </w:rPr>
      </w:pPr>
      <w:r>
        <w:rPr/>
        <w:t>cause the Pledged Beneficial Interest to be transferred to it or any nominee; and</w:t>
      </w:r>
    </w:p>
    <w:p>
      <w:pPr>
        <w:pStyle w:val="AWGNumberedListAlt4"/>
        <w:numPr>
          <w:ilvl w:val="7"/>
          <w:numId w:val="3"/>
        </w:numPr>
        <w:rPr>
          <w:rFonts w:ascii="DejaVu Serif" w:hAnsi="DejaVu Serif"/>
        </w:rPr>
      </w:pPr>
      <w:r>
        <w:rPr/>
        <w:t>Dispose of all or any part of the Collateral in one or more parcels (but may not Dispose of less than all of the Pledged Beneficial Interest), at public or private Disposition, at any exchange, broker's board, any of the Secured Party's offices or elsewhere, for cash, on credit or for future delivery, and upon such other terms as the Secured Party may deem commercially reasonable in its sole discretion; and</w:t>
      </w:r>
    </w:p>
    <w:p>
      <w:pPr>
        <w:pStyle w:val="AWGNumberedListAlt3"/>
        <w:numPr>
          <w:ilvl w:val="5"/>
          <w:numId w:val="3"/>
        </w:numPr>
        <w:tabs>
          <w:tab w:val="clear" w:pos="720"/>
          <w:tab w:val="left" w:pos="870" w:leader="none"/>
        </w:tabs>
        <w:rPr>
          <w:rFonts w:ascii="DejaVu Serif" w:hAnsi="DejaVu Serif"/>
        </w:rPr>
      </w:pPr>
      <w:r>
        <w:rPr/>
        <w:t>exercise in respect of all or any part of the Collateral, in addition to other rights and remedies provided for in the GATS Security Instrument or otherwise available to it, all of the rights and remedies of a secured party on default under Applicable Law, as and when it may see fit including in particular, but without limiting the generality of the foregoing:</w:t>
      </w:r>
    </w:p>
    <w:p>
      <w:pPr>
        <w:pStyle w:val="AWGNumberedListAlt4"/>
        <w:numPr>
          <w:ilvl w:val="7"/>
          <w:numId w:val="3"/>
        </w:numPr>
        <w:rPr>
          <w:rFonts w:ascii="DejaVu Serif" w:hAnsi="DejaVu Serif"/>
        </w:rPr>
      </w:pPr>
      <w:r>
        <w:rPr/>
        <w:t>Possession</w:t>
      </w:r>
    </w:p>
    <w:p>
      <w:pPr>
        <w:pStyle w:val="AWGBodyText3"/>
        <w:rPr>
          <w:rFonts w:ascii="DejaVu Serif" w:hAnsi="DejaVu Serif"/>
        </w:rPr>
      </w:pPr>
      <w:r>
        <w:rPr/>
        <w:t>to take possession of, collect and get in the Collateral, require payment to it of any amounts payable under or in respect of the Collateral or foreclose the Collateral in respect of which the Secured Party is appointed or any part thereof;</w:t>
      </w:r>
    </w:p>
    <w:p>
      <w:pPr>
        <w:pStyle w:val="AWGNumberedListAlt4"/>
        <w:numPr>
          <w:ilvl w:val="7"/>
          <w:numId w:val="3"/>
        </w:numPr>
        <w:rPr>
          <w:rFonts w:ascii="DejaVu Serif" w:hAnsi="DejaVu Serif"/>
        </w:rPr>
      </w:pPr>
      <w:r>
        <w:rPr/>
        <w:t>Contracts</w:t>
      </w:r>
    </w:p>
    <w:p>
      <w:pPr>
        <w:pStyle w:val="AWGBodyText3"/>
        <w:rPr>
          <w:rFonts w:ascii="DejaVu Serif" w:hAnsi="DejaVu Serif"/>
        </w:rPr>
      </w:pPr>
      <w:r>
        <w:rPr/>
        <w:t>to implement any contracts included in the Collateral, or to agree with any other party thereto to determine the same on such terms and conditions as the Secured Party and such party may agree;</w:t>
      </w:r>
    </w:p>
    <w:p>
      <w:pPr>
        <w:pStyle w:val="AWGNumberedListAlt4"/>
        <w:numPr>
          <w:ilvl w:val="7"/>
          <w:numId w:val="3"/>
        </w:numPr>
        <w:rPr>
          <w:rFonts w:ascii="DejaVu Serif" w:hAnsi="DejaVu Serif"/>
        </w:rPr>
      </w:pPr>
      <w:r>
        <w:rPr/>
        <w:t>Discharge</w:t>
      </w:r>
    </w:p>
    <w:p>
      <w:pPr>
        <w:pStyle w:val="AWGBodyText3"/>
        <w:rPr>
          <w:rFonts w:ascii="DejaVu Serif" w:hAnsi="DejaVu Serif"/>
        </w:rPr>
      </w:pPr>
      <w:r>
        <w:rPr/>
        <w:t xml:space="preserve">to utilise some or all of the Collateral in discharge of the Secured Obligations and to perform or cause to be performed all acts and things requisite or desirable according to the law of the country in which the Collateral or any part thereof are situate for the purpose of giving effect to the Secured Party's rights and powers under the GATS Security Instrument; </w:t>
      </w:r>
    </w:p>
    <w:p>
      <w:pPr>
        <w:pStyle w:val="AWGNumberedListAlt4"/>
        <w:numPr>
          <w:ilvl w:val="7"/>
          <w:numId w:val="3"/>
        </w:numPr>
        <w:rPr>
          <w:rFonts w:ascii="DejaVu Serif" w:hAnsi="DejaVu Serif"/>
        </w:rPr>
      </w:pPr>
      <w:r>
        <w:rPr/>
        <w:t>Compromise</w:t>
      </w:r>
    </w:p>
    <w:p>
      <w:pPr>
        <w:pStyle w:val="AWGBodyText3"/>
        <w:rPr>
          <w:rFonts w:ascii="DejaVu Serif" w:hAnsi="DejaVu Serif"/>
        </w:rPr>
      </w:pPr>
      <w:r>
        <w:rPr/>
        <w:t>to settle, adjust, submit to arbitration, compromise and arrange any claims, accounts, disputes, questions, demands, with or by any person who is or claims to be a creditor of the Beneficiary relating in any way to the Collateral which he may reasonably think expedient;</w:t>
      </w:r>
    </w:p>
    <w:p>
      <w:pPr>
        <w:pStyle w:val="AWGNumberedListAlt4"/>
        <w:numPr>
          <w:ilvl w:val="7"/>
          <w:numId w:val="3"/>
        </w:numPr>
        <w:rPr>
          <w:rFonts w:ascii="DejaVu Serif" w:hAnsi="DejaVu Serif"/>
        </w:rPr>
      </w:pPr>
      <w:r>
        <w:rPr/>
        <w:t>Redemption of Security Interests</w:t>
      </w:r>
    </w:p>
    <w:p>
      <w:pPr>
        <w:pStyle w:val="AWGBodyText3"/>
        <w:rPr>
          <w:rFonts w:ascii="DejaVu Serif" w:hAnsi="DejaVu Serif"/>
        </w:rPr>
      </w:pPr>
      <w:r>
        <w:rPr/>
        <w:t xml:space="preserve">to redeem any Security Interests (whether or not having priority to the security hereby created) over the Collateral and to settle the accounts of encumbrances; </w:t>
      </w:r>
    </w:p>
    <w:p>
      <w:pPr>
        <w:pStyle w:val="AWGNumberedListAlt4"/>
        <w:numPr>
          <w:ilvl w:val="7"/>
          <w:numId w:val="3"/>
        </w:numPr>
        <w:rPr>
          <w:rFonts w:ascii="DejaVu Serif" w:hAnsi="DejaVu Serif"/>
        </w:rPr>
      </w:pPr>
      <w:r>
        <w:rPr/>
        <w:t>Sale</w:t>
      </w:r>
    </w:p>
    <w:p>
      <w:pPr>
        <w:pStyle w:val="AWGBodyText3"/>
        <w:rPr>
          <w:rFonts w:ascii="DejaVu Serif" w:hAnsi="DejaVu Serif"/>
        </w:rPr>
      </w:pPr>
      <w:r>
        <w:rPr/>
        <w:t>to sell, exchange, convert into money and realise all or any part of the Collateral by public auction or private contract and generally in such manner and on such terms and conditions as it shall think proper. (The consideration for any such transaction may consist of cash, debenture or other obligations, shares, stock or valuable consideration and any such consideration may be payable in a lump sum or by instalments spread over such period as he thinks fit);</w:t>
      </w:r>
    </w:p>
    <w:p>
      <w:pPr>
        <w:pStyle w:val="AWGNumberedListAlt4"/>
        <w:numPr>
          <w:ilvl w:val="7"/>
          <w:numId w:val="3"/>
        </w:numPr>
        <w:rPr>
          <w:rFonts w:ascii="DejaVu Serif" w:hAnsi="DejaVu Serif"/>
        </w:rPr>
      </w:pPr>
      <w:r>
        <w:rPr/>
        <w:t>Legal actions</w:t>
      </w:r>
    </w:p>
    <w:p>
      <w:pPr>
        <w:pStyle w:val="AWGBodyText3"/>
        <w:rPr>
          <w:rFonts w:ascii="DejaVu Serif" w:hAnsi="DejaVu Serif"/>
        </w:rPr>
      </w:pPr>
      <w:r>
        <w:rPr/>
        <w:t xml:space="preserve">to take over, bring, prosecute, enforce, defend, and abandon all actions, suits and proceedings in relation to all or any part of the Collateral which may seem to it to be expedient; </w:t>
      </w:r>
    </w:p>
    <w:p>
      <w:pPr>
        <w:pStyle w:val="AWGNumberedListAlt4"/>
        <w:numPr>
          <w:ilvl w:val="7"/>
          <w:numId w:val="3"/>
        </w:numPr>
        <w:rPr>
          <w:rFonts w:ascii="DejaVu Serif" w:hAnsi="DejaVu Serif"/>
        </w:rPr>
      </w:pPr>
      <w:r>
        <w:rPr/>
        <w:t>Receipts</w:t>
      </w:r>
    </w:p>
    <w:p>
      <w:pPr>
        <w:pStyle w:val="AWGBodyText3"/>
        <w:rPr>
          <w:rFonts w:ascii="DejaVu Serif" w:hAnsi="DejaVu Serif"/>
        </w:rPr>
      </w:pPr>
      <w:r>
        <w:rPr/>
        <w:t>to give valid receipts for all monies and execute all assurances and things which may be proper or desirable for realising the Collateral;</w:t>
      </w:r>
    </w:p>
    <w:p>
      <w:pPr>
        <w:pStyle w:val="AWGNumberedListAlt4"/>
        <w:numPr>
          <w:ilvl w:val="7"/>
          <w:numId w:val="3"/>
        </w:numPr>
        <w:rPr>
          <w:rFonts w:ascii="DejaVu Serif" w:hAnsi="DejaVu Serif"/>
        </w:rPr>
      </w:pPr>
      <w:r>
        <w:rPr/>
        <w:t>Use of Beneficiary's name</w:t>
      </w:r>
    </w:p>
    <w:p>
      <w:pPr>
        <w:pStyle w:val="AWGBodyText3"/>
        <w:rPr>
          <w:rFonts w:ascii="DejaVu Serif" w:hAnsi="DejaVu Serif"/>
        </w:rPr>
      </w:pPr>
      <w:r>
        <w:rPr/>
        <w:t xml:space="preserve">to use the name of the Beneficiary for all or any of the purposes aforesaid and in any legal proceedings with full power to convey any property sold in the name of the Beneficiary for all of which purposes the Beneficiary hereby irrevocably and by way of security appoints the Secured Party and every such Receiver to be its attorney; </w:t>
      </w:r>
    </w:p>
    <w:p>
      <w:pPr>
        <w:pStyle w:val="AWGNumberedListAlt4"/>
        <w:numPr>
          <w:ilvl w:val="7"/>
          <w:numId w:val="3"/>
        </w:numPr>
        <w:rPr>
          <w:rFonts w:ascii="DejaVu Serif" w:hAnsi="DejaVu Serif"/>
        </w:rPr>
      </w:pPr>
      <w:r>
        <w:rPr/>
        <w:t>Other acts</w:t>
      </w:r>
    </w:p>
    <w:p>
      <w:pPr>
        <w:pStyle w:val="AWGBodyText3"/>
        <w:rPr>
          <w:rFonts w:ascii="DejaVu Serif" w:hAnsi="DejaVu Serif"/>
        </w:rPr>
      </w:pPr>
      <w:r>
        <w:rPr/>
        <w:t>to do all such other acts or things as it may consider to be incidental or conducive to any of the matters or powers aforesaid and to exercise in relation to the Collateral or any of them all such powers, authorities and things as it would be capable of exercising if he were the absolute beneficial owner of the same; and</w:t>
      </w:r>
    </w:p>
    <w:p>
      <w:pPr>
        <w:pStyle w:val="AWGNumberedListAlt4"/>
        <w:numPr>
          <w:ilvl w:val="7"/>
          <w:numId w:val="3"/>
        </w:numPr>
        <w:rPr>
          <w:rFonts w:ascii="DejaVu Serif" w:hAnsi="DejaVu Serif"/>
        </w:rPr>
      </w:pPr>
      <w:r>
        <w:rPr/>
        <w:t>Other rights and powers</w:t>
      </w:r>
    </w:p>
    <w:p>
      <w:pPr>
        <w:pStyle w:val="AWGBodyText3"/>
        <w:rPr>
          <w:rFonts w:ascii="DejaVu Serif" w:hAnsi="DejaVu Serif"/>
        </w:rPr>
      </w:pPr>
      <w:r>
        <w:rPr/>
        <w:t>to exercise all rights and powers in respect of and in connection with the Collateral if it were the legal and/or beneficial owner thereof.</w:t>
      </w:r>
    </w:p>
    <w:p>
      <w:pPr>
        <w:pStyle w:val="AWGNumberedListAlt3"/>
        <w:numPr>
          <w:ilvl w:val="3"/>
          <w:numId w:val="3"/>
        </w:numPr>
        <w:tabs>
          <w:tab w:val="clear" w:pos="720"/>
          <w:tab w:val="left" w:pos="450" w:leader="none"/>
        </w:tabs>
        <w:rPr>
          <w:rFonts w:ascii="DejaVu Serif" w:hAnsi="DejaVu Serif"/>
        </w:rPr>
      </w:pPr>
      <w:bookmarkStart w:id="22" w:name="_Ref494534505"/>
      <w:r>
        <w:rPr>
          <w:szCs w:val="18"/>
        </w:rPr>
        <w:t>At any time after the security constituted by the GATS Security Instrument has become enforceable the Secured Party may, with or without notice to the Beneficiary or prior authorisation from any court, in its absolute discretion:</w:t>
      </w:r>
      <w:bookmarkEnd w:id="22"/>
    </w:p>
    <w:p>
      <w:pPr>
        <w:pStyle w:val="AWGNumberedListAlt4"/>
        <w:numPr>
          <w:ilvl w:val="5"/>
          <w:numId w:val="3"/>
        </w:numPr>
        <w:tabs>
          <w:tab w:val="clear" w:pos="720"/>
          <w:tab w:val="left" w:pos="900" w:leader="none"/>
        </w:tabs>
        <w:rPr>
          <w:rFonts w:ascii="DejaVu Serif" w:hAnsi="DejaVu Serif"/>
        </w:rPr>
      </w:pPr>
      <w:r>
        <w:rPr/>
        <w:t xml:space="preserve">secure and perfect its title to all or any part of the Collateral (including transferring it to the Secured Party or its nominee(s)) or otherwise exercise in relation to the Collateral all of the rights of an absolute owner; </w:t>
      </w:r>
    </w:p>
    <w:p>
      <w:pPr>
        <w:pStyle w:val="AWGNumberedListAlt4"/>
        <w:numPr>
          <w:ilvl w:val="5"/>
          <w:numId w:val="3"/>
        </w:numPr>
        <w:tabs>
          <w:tab w:val="clear" w:pos="720"/>
          <w:tab w:val="left" w:pos="900" w:leader="none"/>
        </w:tabs>
        <w:rPr>
          <w:rFonts w:ascii="DejaVu Serif" w:hAnsi="DejaVu Serif"/>
        </w:rPr>
      </w:pPr>
      <w:r>
        <w:rPr/>
        <w:t>enforce all or any part of the Collateral (at the times, in the manner and on the terms it thinks fit) and appropriate, hold, sell or otherwise dispose of all or any part of the Collateral (at the time) in the manner and on the terms it thinks fit; and</w:t>
      </w:r>
    </w:p>
    <w:p>
      <w:pPr>
        <w:pStyle w:val="AWGNumberedListAlt4"/>
        <w:numPr>
          <w:ilvl w:val="5"/>
          <w:numId w:val="3"/>
        </w:numPr>
        <w:tabs>
          <w:tab w:val="clear" w:pos="720"/>
          <w:tab w:val="left" w:pos="885" w:leader="none"/>
        </w:tabs>
        <w:rPr>
          <w:rFonts w:ascii="DejaVu Serif" w:hAnsi="DejaVu Serif"/>
        </w:rPr>
      </w:pPr>
      <w:bookmarkStart w:id="23" w:name="_Ref494534507"/>
      <w:r>
        <w:rPr/>
        <w:t xml:space="preserve">whether or not it has appointed a Receiver, exercise all or any powers, authorisations and discretions conferred by the Act on chargees or mortgagees and by the GATS Security Instrument and these Master Terms on any Receiver or otherwise conferred by law on chargees or mortgagees or Receivers. </w:t>
      </w:r>
      <w:bookmarkEnd w:id="23"/>
    </w:p>
    <w:p>
      <w:pPr>
        <w:pStyle w:val="AWGNumberedListAlt3"/>
        <w:numPr>
          <w:ilvl w:val="3"/>
          <w:numId w:val="3"/>
        </w:numPr>
        <w:tabs>
          <w:tab w:val="clear" w:pos="720"/>
          <w:tab w:val="left" w:pos="420" w:leader="none"/>
        </w:tabs>
        <w:rPr>
          <w:rFonts w:ascii="DejaVu Serif" w:hAnsi="DejaVu Serif"/>
        </w:rPr>
      </w:pPr>
      <w:r>
        <w:rPr>
          <w:szCs w:val="18"/>
        </w:rPr>
        <w:t xml:space="preserve">Section 25 of the Act shall not restrict the exercise by the Secured Party of the statutory power of sale conferred on it by section 24 of the Act and the security constituted by or pursuant to the GATS Security Instrument shall become immediately exercisable and the statutory power of sale and all other powers conferred by section 24 of the Act shall arise and may be exercised by the Secured Party at any time after the security constituted by the GATS Security Instrument has become enforceable and the provisions of the Act relating to and regulating the exercise of the power of sale shall, insofar as they relate to the security constituted by or pursuant to the GATS Security Instrument be varied and extended accordingly. </w:t>
      </w:r>
    </w:p>
    <w:p>
      <w:pPr>
        <w:pStyle w:val="AWGNumberedListAlt3"/>
        <w:numPr>
          <w:ilvl w:val="3"/>
          <w:numId w:val="3"/>
        </w:numPr>
        <w:tabs>
          <w:tab w:val="clear" w:pos="720"/>
          <w:tab w:val="left" w:pos="450" w:leader="none"/>
        </w:tabs>
        <w:rPr>
          <w:rFonts w:ascii="DejaVu Serif" w:hAnsi="DejaVu Serif"/>
        </w:rPr>
      </w:pPr>
      <w:r>
        <w:rPr/>
        <w:t xml:space="preserve">The restriction on the right of consolidating mortgage securities contained in section 21 of the Act shall not apply to the GATS Security Instrument. </w:t>
      </w:r>
    </w:p>
    <w:p>
      <w:pPr>
        <w:pStyle w:val="AWGNumberedList2"/>
        <w:numPr>
          <w:ilvl w:val="1"/>
          <w:numId w:val="3"/>
        </w:numPr>
        <w:rPr>
          <w:rFonts w:ascii="DejaVu Serif" w:hAnsi="DejaVu Serif"/>
        </w:rPr>
      </w:pPr>
      <w:r>
        <w:rPr/>
        <w:t>Collection and Enforcement</w:t>
      </w:r>
    </w:p>
    <w:p>
      <w:pPr>
        <w:pStyle w:val="AWGNumberedListAlt3"/>
        <w:numPr>
          <w:ilvl w:val="3"/>
          <w:numId w:val="3"/>
        </w:numPr>
        <w:tabs>
          <w:tab w:val="clear" w:pos="720"/>
          <w:tab w:val="left" w:pos="465" w:leader="none"/>
        </w:tabs>
        <w:rPr>
          <w:rFonts w:ascii="DejaVu Serif" w:hAnsi="DejaVu Serif"/>
        </w:rPr>
      </w:pPr>
      <w:r>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the GATS Security Instrument shall occur, and the Beneficiary agrees that such notice of such Disposition shall constitute reasonable notification.  </w:t>
      </w:r>
    </w:p>
    <w:p>
      <w:pPr>
        <w:pStyle w:val="AWGNumberedListAlt3"/>
        <w:numPr>
          <w:ilvl w:val="3"/>
          <w:numId w:val="3"/>
        </w:numPr>
        <w:tabs>
          <w:tab w:val="clear" w:pos="720"/>
          <w:tab w:val="left" w:pos="480" w:leader="none"/>
        </w:tabs>
        <w:rPr>
          <w:rFonts w:ascii="DejaVu Serif" w:hAnsi="DejaVu Serif"/>
        </w:rPr>
      </w:pPr>
      <w:r>
        <w:rPr/>
        <w:t>The Secured Party shall not be obligated to make any Disposition of any of the Collateral, regardless of notice of any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pPr>
        <w:pStyle w:val="AWGNumberedListAlt3"/>
        <w:numPr>
          <w:ilvl w:val="3"/>
          <w:numId w:val="3"/>
        </w:numPr>
        <w:tabs>
          <w:tab w:val="clear" w:pos="720"/>
          <w:tab w:val="left" w:pos="495" w:leader="none"/>
        </w:tabs>
        <w:rPr>
          <w:rFonts w:ascii="DejaVu Serif" w:hAnsi="DejaVu Serif"/>
        </w:rPr>
      </w:pPr>
      <w:r>
        <w:rPr/>
        <w:t>Any cash held by the Secured Party as Collateral and all cash proceeds received by the Secured Party in respect of any Disposition of, collection from or other realisation upon or distribution in respect of all or any part of the Collateral shall be held by the Secured Party as collateral for, and applied, as payment for any Secured Obligations.</w:t>
      </w:r>
    </w:p>
    <w:p>
      <w:pPr>
        <w:pStyle w:val="AWGNumberedList2"/>
        <w:numPr>
          <w:ilvl w:val="1"/>
          <w:numId w:val="3"/>
        </w:numPr>
        <w:rPr>
          <w:rFonts w:ascii="DejaVu Serif" w:hAnsi="DejaVu Serif"/>
        </w:rPr>
      </w:pPr>
      <w:r>
        <w:rPr/>
        <w:t>Receivers</w:t>
      </w:r>
    </w:p>
    <w:p>
      <w:pPr>
        <w:pStyle w:val="AWGNumberedListAlt3"/>
        <w:numPr>
          <w:ilvl w:val="3"/>
          <w:numId w:val="3"/>
        </w:numPr>
        <w:tabs>
          <w:tab w:val="clear" w:pos="720"/>
          <w:tab w:val="left" w:pos="480" w:leader="none"/>
        </w:tabs>
        <w:rPr>
          <w:rFonts w:ascii="DejaVu Serif" w:hAnsi="DejaVu Serif"/>
        </w:rPr>
      </w:pPr>
      <w:bookmarkStart w:id="24" w:name="_Ref32350222"/>
      <w:r>
        <w:rPr/>
        <w:t>Appointment of Receiver</w:t>
      </w:r>
      <w:bookmarkEnd w:id="24"/>
    </w:p>
    <w:p>
      <w:pPr>
        <w:pStyle w:val="AWGNumberedListAlt4"/>
        <w:numPr>
          <w:ilvl w:val="5"/>
          <w:numId w:val="3"/>
        </w:numPr>
        <w:tabs>
          <w:tab w:val="clear" w:pos="720"/>
          <w:tab w:val="left" w:pos="855" w:leader="none"/>
        </w:tabs>
        <w:rPr>
          <w:rFonts w:ascii="DejaVu Serif" w:hAnsi="DejaVu Serif"/>
        </w:rPr>
      </w:pPr>
      <w:r>
        <w:rPr/>
        <w:t xml:space="preserve">At any time after the Beneficiary so requests or the GATS Security Instrument becomes enforceable, the Secured Party may, by deed or otherwise under the hand of a duly authorised officer of the Secured Party, appoint any person or persons considered by it to be competent to be a receiver or a receiver and manager (hereinafter called a </w:t>
      </w:r>
      <w:r>
        <w:rPr>
          <w:b/>
        </w:rPr>
        <w:t>Receiver</w:t>
      </w:r>
      <w:r>
        <w:rPr/>
        <w:t xml:space="preserve"> which expression will, where the context so admits, include the plural and any substituted receiver or receiver and manager) of all or any part of the Collateral and such persons shall be deemed to be in the same position as a Receiver duly appointed by a mortgagee under the Act.</w:t>
      </w:r>
    </w:p>
    <w:p>
      <w:pPr>
        <w:pStyle w:val="AWGNumberedListAlt4"/>
        <w:numPr>
          <w:ilvl w:val="5"/>
          <w:numId w:val="3"/>
        </w:numPr>
        <w:tabs>
          <w:tab w:val="clear" w:pos="720"/>
          <w:tab w:val="left" w:pos="855" w:leader="none"/>
        </w:tabs>
        <w:rPr>
          <w:rFonts w:ascii="DejaVu Serif" w:hAnsi="DejaVu Serif"/>
        </w:rPr>
      </w:pPr>
      <w:bookmarkStart w:id="25" w:name="_Ref494534526"/>
      <w:r>
        <w:rPr/>
        <w:t>If at any time there is more than one Receiver of all or part of the Collateral, each such Receiver may, unless otherwise stated in any appointment document) exercise all of the powers conferred on a Receiver under the GATS Security Instrument individually and to the exclusion of each other Receiver.</w:t>
      </w:r>
      <w:bookmarkEnd w:id="25"/>
    </w:p>
    <w:p>
      <w:pPr>
        <w:pStyle w:val="AWGNumberedListAlt4"/>
        <w:numPr>
          <w:ilvl w:val="5"/>
          <w:numId w:val="3"/>
        </w:numPr>
        <w:tabs>
          <w:tab w:val="clear" w:pos="720"/>
          <w:tab w:val="left" w:pos="840" w:leader="none"/>
        </w:tabs>
        <w:rPr>
          <w:rFonts w:ascii="DejaVu Serif" w:hAnsi="DejaVu Serif"/>
        </w:rPr>
      </w:pPr>
      <w:bookmarkStart w:id="26" w:name="_Ref494534527"/>
      <w:r>
        <w:rPr/>
        <w:t>All of the powers, authorities and discretions which are conferred by the GATS Security Instrument, either expressly or impliedly, upon any Receiver may be exercised by the Secured Party after the GATS Security Instrument becomes enforceable in relation to all or part of the Collateral without first appointing a Receiver or notwithstanding the appointment of a Receiver of the Collateral, or any part thereof.</w:t>
      </w:r>
      <w:bookmarkEnd w:id="26"/>
    </w:p>
    <w:p>
      <w:pPr>
        <w:pStyle w:val="AWGNumberedListAlt3"/>
        <w:numPr>
          <w:ilvl w:val="3"/>
          <w:numId w:val="3"/>
        </w:numPr>
        <w:tabs>
          <w:tab w:val="clear" w:pos="720"/>
          <w:tab w:val="left" w:pos="465" w:leader="none"/>
        </w:tabs>
        <w:rPr>
          <w:rFonts w:ascii="DejaVu Serif" w:hAnsi="DejaVu Serif"/>
        </w:rPr>
      </w:pPr>
      <w:r>
        <w:rPr/>
        <w:t>Receiver as agent</w:t>
      </w:r>
    </w:p>
    <w:p>
      <w:pPr>
        <w:pStyle w:val="AWGNumberedListAlt3"/>
        <w:ind w:left="454" w:right="0" w:hanging="0"/>
        <w:rPr>
          <w:rFonts w:ascii="DejaVu Serif" w:hAnsi="DejaVu Serif"/>
        </w:rPr>
      </w:pPr>
      <w:r>
        <w:rPr/>
        <w:t>Any Receiver so appointed shall be the agent of the Beneficiary and the Beneficiary will be solely responsible for his remuneration, acts, defaults, omissions and losses and for all costs, expenses, liabilities incurred by him. The Secured Party shall not incur any liability by reason of the appointment of a Receiver or for any other reason.</w:t>
      </w:r>
    </w:p>
    <w:p>
      <w:pPr>
        <w:pStyle w:val="AWGNumberedListAlt3"/>
        <w:numPr>
          <w:ilvl w:val="3"/>
          <w:numId w:val="3"/>
        </w:numPr>
        <w:tabs>
          <w:tab w:val="clear" w:pos="720"/>
          <w:tab w:val="left" w:pos="465" w:leader="none"/>
        </w:tabs>
        <w:rPr>
          <w:rFonts w:ascii="DejaVu Serif" w:hAnsi="DejaVu Serif"/>
        </w:rPr>
      </w:pPr>
      <w:r>
        <w:rPr/>
        <w:t>Remuneration</w:t>
      </w:r>
    </w:p>
    <w:p>
      <w:pPr>
        <w:pStyle w:val="AWGNumberedListAlt3"/>
        <w:ind w:left="454" w:right="0" w:hanging="0"/>
        <w:rPr>
          <w:rFonts w:ascii="DejaVu Serif" w:hAnsi="DejaVu Serif"/>
        </w:rPr>
      </w:pPr>
      <w:r>
        <w:rPr/>
        <w:t>A Receiver shall be entitled to remuneration for his services at a rate to be fixed by the Secured Party (but without being limited to a maximum rate of commission as prescribed by Section 29(6) of the Act) and the Secured Party may direct payment thereof out of the Collateral but the Beneficiary alone will be liable for payment of such remuneration.</w:t>
      </w:r>
    </w:p>
    <w:p>
      <w:pPr>
        <w:pStyle w:val="AWGNumberedListAlt3"/>
        <w:numPr>
          <w:ilvl w:val="3"/>
          <w:numId w:val="3"/>
        </w:numPr>
        <w:tabs>
          <w:tab w:val="clear" w:pos="720"/>
          <w:tab w:val="left" w:pos="405" w:leader="none"/>
        </w:tabs>
        <w:rPr>
          <w:rFonts w:ascii="DejaVu Serif" w:hAnsi="DejaVu Serif"/>
        </w:rPr>
      </w:pPr>
      <w:r>
        <w:rPr/>
        <w:t xml:space="preserve">Powers of a Receiver </w:t>
      </w:r>
    </w:p>
    <w:p>
      <w:pPr>
        <w:pStyle w:val="AWGBodyText1"/>
        <w:rPr>
          <w:rFonts w:ascii="DejaVu Serif" w:hAnsi="DejaVu Serif"/>
        </w:rPr>
      </w:pPr>
      <w:r>
        <w:rPr/>
        <w:t>Every Receiver shall (subject to any restrictions in the instrument appointing him but notwithstanding any winding-up or dissolution of the Beneficiary) have and be entitled to exercise, in relation to the Collateral in respect of which he was appointed, and as varied and extended by the provisions of the GATS Security Instrument (in the name of or on behalf of the Beneficiary or in his own name and, in each case, at the cost of the Beneficiary):</w:t>
      </w:r>
    </w:p>
    <w:p>
      <w:pPr>
        <w:pStyle w:val="AWGNumberedListAlt4"/>
        <w:numPr>
          <w:ilvl w:val="4"/>
          <w:numId w:val="1"/>
        </w:numPr>
        <w:rPr>
          <w:rFonts w:ascii="DejaVu Serif" w:hAnsi="DejaVu Serif"/>
        </w:rPr>
      </w:pPr>
      <w:r>
        <w:rPr/>
        <w:t>all the powers conferred by the Act on mortgagors and on mortgagees in possession and on receivers appointed under the</w:t>
      </w:r>
      <w:r>
        <w:rPr>
          <w:spacing w:val="-20"/>
        </w:rPr>
        <w:t xml:space="preserve"> </w:t>
      </w:r>
      <w:r>
        <w:rPr/>
        <w:t>Act;</w:t>
      </w:r>
    </w:p>
    <w:p>
      <w:pPr>
        <w:pStyle w:val="AWGNumberedListAlt4"/>
        <w:numPr>
          <w:ilvl w:val="4"/>
          <w:numId w:val="1"/>
        </w:numPr>
        <w:rPr>
          <w:rFonts w:ascii="DejaVu Serif" w:hAnsi="DejaVu Serif"/>
        </w:rPr>
      </w:pPr>
      <w:r>
        <w:rPr/>
        <w:t>all the powers of a receiver set out in the Companies Act (Chapter 50) of Singapore;</w:t>
      </w:r>
    </w:p>
    <w:p>
      <w:pPr>
        <w:pStyle w:val="AWGNumberedListAlt4"/>
        <w:numPr>
          <w:ilvl w:val="4"/>
          <w:numId w:val="1"/>
        </w:numPr>
        <w:rPr>
          <w:rFonts w:ascii="DejaVu Serif" w:hAnsi="DejaVu Serif"/>
        </w:rPr>
      </w:pPr>
      <w:r>
        <w:rPr/>
        <w:t>all the powers and rights of an absolute owner and power to do or omit to do anything which the Beneficiary itself could do or omit to</w:t>
      </w:r>
      <w:r>
        <w:rPr>
          <w:spacing w:val="-3"/>
        </w:rPr>
        <w:t xml:space="preserve"> </w:t>
      </w:r>
      <w:r>
        <w:rPr/>
        <w:t>do;</w:t>
      </w:r>
    </w:p>
    <w:p>
      <w:pPr>
        <w:pStyle w:val="AWGNumberedListAlt4"/>
        <w:numPr>
          <w:ilvl w:val="4"/>
          <w:numId w:val="1"/>
        </w:numPr>
        <w:rPr>
          <w:rFonts w:ascii="DejaVu Serif" w:hAnsi="DejaVu Serif"/>
        </w:rPr>
      </w:pPr>
      <w:r>
        <w:rPr/>
        <w:t>the power to delegate (either generally or specifically) the powers, authorities and discretions conferred on it by the GATS Security Instrument or any of the Finance Documents (including the power of attorney) on such terms and conditions as it shall see fit which delegation shall not preclude either the subsequent exercise any subsequent delegation or any revocation of such power, authority or discretion by the Receiver itself;</w:t>
      </w:r>
      <w:r>
        <w:rPr>
          <w:spacing w:val="-18"/>
        </w:rPr>
        <w:t xml:space="preserve"> </w:t>
      </w:r>
      <w:r>
        <w:rPr/>
        <w:t>and</w:t>
      </w:r>
    </w:p>
    <w:p>
      <w:pPr>
        <w:pStyle w:val="AWGNumberedListAlt4"/>
        <w:numPr>
          <w:ilvl w:val="4"/>
          <w:numId w:val="1"/>
        </w:numPr>
        <w:rPr>
          <w:rFonts w:ascii="DejaVu Serif" w:hAnsi="DejaVu Serif"/>
        </w:rPr>
      </w:pPr>
      <w:r>
        <w:rPr/>
        <w:t>the power to do all things (including bringing or defending proceedings in the name or on behalf of the Beneficiary) which seem to the Receiver to be incidental or conducive to:</w:t>
      </w:r>
    </w:p>
    <w:p>
      <w:pPr>
        <w:pStyle w:val="AWGNumberedListAlt4"/>
        <w:numPr>
          <w:ilvl w:val="7"/>
          <w:numId w:val="3"/>
        </w:numPr>
        <w:rPr>
          <w:rFonts w:ascii="DejaVu Serif" w:hAnsi="DejaVu Serif"/>
        </w:rPr>
      </w:pPr>
      <w:r>
        <w:rPr/>
        <w:t>any of the functions, powers, authorities or discretions conferred on or vested in him;</w:t>
      </w:r>
    </w:p>
    <w:p>
      <w:pPr>
        <w:pStyle w:val="AWGNumberedListAlt4"/>
        <w:numPr>
          <w:ilvl w:val="7"/>
          <w:numId w:val="3"/>
        </w:numPr>
        <w:rPr>
          <w:rFonts w:ascii="DejaVu Serif" w:hAnsi="DejaVu Serif"/>
        </w:rPr>
      </w:pPr>
      <w:r>
        <w:rPr/>
        <w:t>the exercise of any rights, powers and remedies of the Secured Party provided by or pursuant to GATS Security Instrument or by law (including realisation of all or any part of the Collateral); or</w:t>
      </w:r>
    </w:p>
    <w:p>
      <w:pPr>
        <w:pStyle w:val="AWGNumberedListAlt4"/>
        <w:numPr>
          <w:ilvl w:val="7"/>
          <w:numId w:val="3"/>
        </w:numPr>
        <w:rPr>
          <w:rFonts w:ascii="DejaVu Serif" w:hAnsi="DejaVu Serif"/>
        </w:rPr>
      </w:pPr>
      <w:r>
        <w:rPr/>
        <w:t>bringing to his hands any assets of the Beneficiary forming part of, or which when got in would be, the Collateral.</w:t>
      </w:r>
    </w:p>
    <w:p>
      <w:pPr>
        <w:pStyle w:val="AWGNumberedListAlt3"/>
        <w:numPr>
          <w:ilvl w:val="3"/>
          <w:numId w:val="3"/>
        </w:numPr>
        <w:tabs>
          <w:tab w:val="clear" w:pos="720"/>
          <w:tab w:val="left" w:pos="495" w:leader="none"/>
        </w:tabs>
        <w:rPr>
          <w:rFonts w:ascii="DejaVu Serif" w:hAnsi="DejaVu Serif"/>
        </w:rPr>
      </w:pPr>
      <w:r>
        <w:rPr/>
        <w:t>No liability</w:t>
      </w:r>
    </w:p>
    <w:p>
      <w:pPr>
        <w:pStyle w:val="AWGNumberedListAlt3"/>
        <w:ind w:left="454" w:right="0" w:hanging="0"/>
        <w:rPr>
          <w:rFonts w:ascii="DejaVu Serif" w:hAnsi="DejaVu Serif"/>
        </w:rPr>
      </w:pPr>
      <w:r>
        <w:rPr/>
        <w:t>Neither the Secured Party nor any Receiver appointed under the GATS Security Instrument shall be liable to account as mortgagee in possession in respect of any of the Collateral or be liable for any loss upon realisation or for any neglect or default of any nature whatsoever (except to the extent that the same results from its or his wilful misconduct or own gross negligence as determined by a nonappealable judgment of a court of competent jurisdiction, in connection with any such action relating to the exercise of remedies hereunder) and all costs charges and expenses incurred by the Secured Party or any Receiver appointed hereunder (including the costs of any proceedings to enforce this security) together with all value added tax thereon shall be paid by the Beneficiary and shall form part of the Secured Obligations and be charged on and paid out of the Collateral.</w:t>
      </w:r>
    </w:p>
    <w:p>
      <w:pPr>
        <w:pStyle w:val="AWGNumberedListAlt3"/>
        <w:numPr>
          <w:ilvl w:val="3"/>
          <w:numId w:val="3"/>
        </w:numPr>
        <w:tabs>
          <w:tab w:val="clear" w:pos="720"/>
          <w:tab w:val="left" w:pos="450" w:leader="none"/>
        </w:tabs>
        <w:rPr>
          <w:rFonts w:ascii="DejaVu Serif" w:hAnsi="DejaVu Serif"/>
        </w:rPr>
      </w:pPr>
      <w:r>
        <w:rPr/>
        <w:t>Removal of a Receiver</w:t>
      </w:r>
    </w:p>
    <w:p>
      <w:pPr>
        <w:pStyle w:val="AWGNumberedListAlt3"/>
        <w:ind w:left="454" w:right="0" w:hanging="0"/>
        <w:rPr>
          <w:rFonts w:ascii="DejaVu Serif" w:hAnsi="DejaVu Serif"/>
        </w:rPr>
      </w:pPr>
      <w:r>
        <w:rPr/>
        <w:t>The Secured Party may in writing remove any Receiver so appointed and appoint another person or person as Receiver either in place of a Receiver whose appointment has been terminated or in addition to any Receiver already appointed.</w:t>
      </w:r>
    </w:p>
    <w:p>
      <w:pPr>
        <w:pStyle w:val="AWGNumberedList2"/>
        <w:numPr>
          <w:ilvl w:val="1"/>
          <w:numId w:val="3"/>
        </w:numPr>
        <w:rPr>
          <w:rFonts w:ascii="DejaVu Serif" w:hAnsi="DejaVu Serif"/>
        </w:rPr>
      </w:pPr>
      <w:bookmarkStart w:id="27" w:name="_Ref528588250"/>
      <w:r>
        <w:rPr/>
        <w:t>Recognition by Trustee of Enforcement of Security Interest</w:t>
      </w:r>
      <w:bookmarkEnd w:id="27"/>
    </w:p>
    <w:p>
      <w:pPr>
        <w:pStyle w:val="AWGBodyText1"/>
        <w:rPr>
          <w:rFonts w:ascii="DejaVu Serif" w:hAnsi="DejaVu Serif"/>
        </w:rPr>
      </w:pPr>
      <w:r>
        <w:rP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 Trustee pursuant to section 3.2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pPr>
        <w:pStyle w:val="AWGNumberedList2"/>
        <w:numPr>
          <w:ilvl w:val="1"/>
          <w:numId w:val="3"/>
        </w:numPr>
        <w:rPr>
          <w:rFonts w:ascii="DejaVu Serif" w:hAnsi="DejaVu Serif"/>
        </w:rPr>
      </w:pPr>
      <w:bookmarkStart w:id="28" w:name="_Ref33086776"/>
      <w:r>
        <w:rPr/>
        <w:t>Protection of Third Parties</w:t>
      </w:r>
      <w:bookmarkEnd w:id="28"/>
    </w:p>
    <w:p>
      <w:pPr>
        <w:pStyle w:val="AWGBodyText1"/>
        <w:rPr/>
      </w:pPr>
      <w:r>
        <w:rPr/>
        <w:t xml:space="preserve">No purchaser or other person will be bound or concerned to see or enquire whether the right of the Secured Party or any Receiver appointed by the Secured Party to exercise any of the powers conferred by </w:t>
      </w:r>
      <w:r>
        <w:rPr>
          <w:lang w:val="en-US"/>
        </w:rPr>
        <w:t>the GATS Security Instrument</w:t>
      </w:r>
      <w:r>
        <w:rPr/>
        <w:t xml:space="preserve"> has arisen or not or be concerned with notice to the contrary or with the propriety of the exercise or purported exercise of such powers. Any third party referred to in this Section </w:t>
      </w:r>
      <w:r>
        <w:rPr/>
        <w:fldChar w:fldCharType="begin"/>
      </w:r>
      <w:r>
        <w:rPr/>
        <w:instrText> REF _Ref33086776 \w \h </w:instrText>
      </w:r>
      <w:r>
        <w:rPr/>
        <w:fldChar w:fldCharType="separate"/>
      </w:r>
      <w:r>
        <w:rPr/>
        <w:t>5.5</w:t>
      </w:r>
      <w:r>
        <w:rPr/>
        <w:fldChar w:fldCharType="end"/>
      </w:r>
      <w:r>
        <w:rPr/>
        <w:t xml:space="preserve"> may enjoy the benefit or enforce the terms of this Section </w:t>
      </w:r>
      <w:r>
        <w:rPr/>
        <w:fldChar w:fldCharType="begin"/>
      </w:r>
      <w:r>
        <w:rPr/>
        <w:instrText> REF _Ref33086776 \w \h </w:instrText>
      </w:r>
      <w:r>
        <w:rPr/>
        <w:fldChar w:fldCharType="separate"/>
      </w:r>
      <w:r>
        <w:rPr/>
        <w:t>5.5</w:t>
      </w:r>
      <w:r>
        <w:rPr/>
        <w:fldChar w:fldCharType="end"/>
      </w:r>
      <w:r>
        <w:rPr/>
        <w:t xml:space="preserve"> in accordance with the provisions of the Third Parties Act. </w:t>
      </w:r>
    </w:p>
    <w:p>
      <w:pPr>
        <w:pStyle w:val="AWGNumberedList1"/>
        <w:numPr>
          <w:ilvl w:val="0"/>
          <w:numId w:val="3"/>
        </w:numPr>
        <w:jc w:val="left"/>
        <w:rPr>
          <w:rFonts w:ascii="DejaVu Serif" w:hAnsi="DejaVu Serif"/>
        </w:rPr>
      </w:pPr>
      <w:r>
        <w:rPr/>
        <w:t>APPLICATION OF PROCEEDS</w:t>
      </w:r>
    </w:p>
    <w:p>
      <w:pPr>
        <w:pStyle w:val="AWGNumberedList2"/>
        <w:numPr>
          <w:ilvl w:val="1"/>
          <w:numId w:val="3"/>
        </w:numPr>
        <w:rPr>
          <w:rFonts w:ascii="DejaVu Serif" w:hAnsi="DejaVu Serif"/>
        </w:rPr>
      </w:pPr>
      <w:r>
        <w:rPr/>
        <w:t>Payments and Proceeds under the GATS Trust Instrument</w:t>
      </w:r>
    </w:p>
    <w:p>
      <w:pPr>
        <w:pStyle w:val="AWGNumberedListAlt3"/>
        <w:numPr>
          <w:ilvl w:val="3"/>
          <w:numId w:val="3"/>
        </w:numPr>
        <w:tabs>
          <w:tab w:val="clear" w:pos="720"/>
          <w:tab w:val="left" w:pos="465" w:leader="none"/>
        </w:tabs>
        <w:rPr>
          <w:rFonts w:ascii="DejaVu Serif" w:hAnsi="DejaVu Serif"/>
        </w:rPr>
      </w:pPr>
      <w:r>
        <w:rPr/>
        <w:t xml:space="preserve">For the purposes of section 4.2(a)(ii) of the Trust Instrument Master Terms, </w:t>
      </w:r>
      <w:r>
        <w:rPr>
          <w:lang w:val="en-US"/>
        </w:rPr>
        <w:t>and notwithstanding the provisions of section 29(8) of the Act</w:t>
      </w:r>
      <w:r>
        <w:rPr/>
        <w:t>, the balance of any payment received by or for the account of the Trustee or the GATS Trust pursuant to the GATS Trust Instrument and any other amount received by it as part of the Trust Estate and for the application or distribution of which no provision is made in the GATS Trust Instrument shall be distributed and applied in accordance with Priority of Payments Provisions.</w:t>
      </w:r>
    </w:p>
    <w:p>
      <w:pPr>
        <w:pStyle w:val="AWGNumberedListAlt3"/>
        <w:numPr>
          <w:ilvl w:val="3"/>
          <w:numId w:val="3"/>
        </w:numPr>
        <w:tabs>
          <w:tab w:val="clear" w:pos="720"/>
          <w:tab w:val="left" w:pos="465" w:leader="none"/>
        </w:tabs>
        <w:rPr>
          <w:rFonts w:ascii="DejaVu Serif" w:hAnsi="DejaVu Serif"/>
        </w:rPr>
      </w:pPr>
      <w:r>
        <w:rPr/>
        <w:t>For the purposes of section 4.2(b)(ii) of the Trust Instrument Master Terms (and subject always to the provisos set forth in such clause), the Secured Party hereby requires that all distributions to be made pursuant to the GATS Trust Instrument shall be made:</w:t>
      </w:r>
    </w:p>
    <w:p>
      <w:pPr>
        <w:pStyle w:val="AWGNumberedListAlt4"/>
        <w:numPr>
          <w:ilvl w:val="5"/>
          <w:numId w:val="3"/>
        </w:numPr>
        <w:tabs>
          <w:tab w:val="clear" w:pos="720"/>
          <w:tab w:val="left" w:pos="915" w:leader="none"/>
        </w:tabs>
        <w:rPr>
          <w:rFonts w:ascii="DejaVu Serif" w:hAnsi="DejaVu Serif"/>
        </w:rPr>
      </w:pPr>
      <w:r>
        <w:rPr/>
        <w:t>to the account identified for such purpose in the Principal Finance Document or the Principal Security Agreement;</w:t>
      </w:r>
    </w:p>
    <w:p>
      <w:pPr>
        <w:pStyle w:val="AWGNumberedListAlt4"/>
        <w:numPr>
          <w:ilvl w:val="5"/>
          <w:numId w:val="3"/>
        </w:numPr>
        <w:tabs>
          <w:tab w:val="clear" w:pos="720"/>
          <w:tab w:val="left" w:pos="990" w:leader="none"/>
        </w:tabs>
        <w:rPr>
          <w:rFonts w:ascii="DejaVu Serif" w:hAnsi="DejaVu Serif"/>
        </w:rPr>
      </w:pPr>
      <w:r>
        <w:rPr/>
        <w:t>if no such account is identified, to such account as the Secured Party may direct in writing from time to time; or</w:t>
      </w:r>
      <w:bookmarkStart w:id="29" w:name="_Hlk32260089"/>
      <w:bookmarkEnd w:id="29"/>
    </w:p>
    <w:p>
      <w:pPr>
        <w:pStyle w:val="AWGNumberedListAlt4"/>
        <w:numPr>
          <w:ilvl w:val="5"/>
          <w:numId w:val="3"/>
        </w:numPr>
        <w:tabs>
          <w:tab w:val="clear" w:pos="720"/>
          <w:tab w:val="left" w:pos="900" w:leader="none"/>
        </w:tabs>
        <w:rPr>
          <w:rFonts w:ascii="DejaVu Serif" w:hAnsi="DejaVu Serif"/>
        </w:rPr>
      </w:pPr>
      <w:r>
        <w:rPr/>
        <w:t>if no such direction is given and to the extent permitted by the Principal Finance Document or the Principal Security Agreement, to such account as the Beneficiary shall from time to time direct in writing.</w:t>
      </w:r>
    </w:p>
    <w:p>
      <w:pPr>
        <w:pStyle w:val="AWGNumberedList2"/>
        <w:numPr>
          <w:ilvl w:val="1"/>
          <w:numId w:val="3"/>
        </w:numPr>
        <w:rPr>
          <w:rFonts w:ascii="DejaVu Serif" w:hAnsi="DejaVu Serif"/>
        </w:rPr>
      </w:pPr>
      <w:r>
        <w:rPr/>
        <w:t>Application by Secured Party</w:t>
      </w:r>
    </w:p>
    <w:p>
      <w:pPr>
        <w:pStyle w:val="AWGBodyText1"/>
        <w:rPr/>
      </w:pPr>
      <w:r>
        <w:rPr/>
        <w:t xml:space="preserve">Subject to Section </w:t>
      </w:r>
      <w:r>
        <w:rPr/>
        <w:fldChar w:fldCharType="begin"/>
      </w:r>
      <w:r>
        <w:rPr/>
        <w:instrText> REF _Ref534722307 \r \h </w:instrText>
      </w:r>
      <w:r>
        <w:rPr/>
        <w:fldChar w:fldCharType="separate"/>
      </w:r>
      <w:r>
        <w:rPr/>
        <w:t>6.4</w:t>
      </w:r>
      <w:r>
        <w:rPr/>
        <w:fldChar w:fldCharType="end"/>
      </w:r>
      <w:r>
        <w:rPr/>
        <w:t>, all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pPr>
        <w:pStyle w:val="AWGNumberedList2"/>
        <w:numPr>
          <w:ilvl w:val="1"/>
          <w:numId w:val="3"/>
        </w:numPr>
        <w:rPr>
          <w:rFonts w:ascii="DejaVu Serif" w:hAnsi="DejaVu Serif"/>
        </w:rPr>
      </w:pPr>
      <w:r>
        <w:rPr/>
        <w:t>Turnover of Proceeds</w:t>
      </w:r>
    </w:p>
    <w:p>
      <w:pPr>
        <w:pStyle w:val="AWGBodyText1"/>
        <w:rPr>
          <w:rFonts w:ascii="DejaVu Serif" w:hAnsi="DejaVu Serif"/>
        </w:rPr>
      </w:pPr>
      <w:r>
        <w:rPr/>
        <w:t>Upon the occurrence and during the continuation of an Event of Default:</w:t>
      </w:r>
    </w:p>
    <w:p>
      <w:pPr>
        <w:pStyle w:val="AWGNumberedListAlt3"/>
        <w:numPr>
          <w:ilvl w:val="3"/>
          <w:numId w:val="3"/>
        </w:numPr>
        <w:tabs>
          <w:tab w:val="clear" w:pos="720"/>
          <w:tab w:val="left" w:pos="465" w:leader="none"/>
        </w:tabs>
        <w:rPr>
          <w:rFonts w:ascii="DejaVu Serif" w:hAnsi="DejaVu Serif"/>
        </w:rPr>
      </w:pPr>
      <w:r>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pPr>
        <w:pStyle w:val="AWGNumberedListAlt3"/>
        <w:numPr>
          <w:ilvl w:val="3"/>
          <w:numId w:val="3"/>
        </w:numPr>
        <w:tabs>
          <w:tab w:val="clear" w:pos="720"/>
          <w:tab w:val="left" w:pos="450" w:leader="none"/>
        </w:tabs>
        <w:rPr>
          <w:rFonts w:ascii="DejaVu Serif" w:hAnsi="DejaVu Serif"/>
        </w:rPr>
      </w:pPr>
      <w:r>
        <w:rPr/>
        <w:t>any and all such proceeds received by the Secured Party (whether from the Beneficiary or otherwise) may, in the sole discretion of the Secured Party, be held by the Secured Party as Collateral and then or at any time thereafter may be applied by the Secured Party against, the Secured Obligations (whether matured or unmatured) in accordance with Priority of Payments Provisions.</w:t>
      </w:r>
    </w:p>
    <w:p>
      <w:pPr>
        <w:pStyle w:val="AWGNumberedList2"/>
        <w:numPr>
          <w:ilvl w:val="1"/>
          <w:numId w:val="3"/>
        </w:numPr>
        <w:rPr>
          <w:rFonts w:ascii="DejaVu Serif" w:hAnsi="DejaVu Serif"/>
        </w:rPr>
      </w:pPr>
      <w:bookmarkStart w:id="30" w:name="_Ref534722307"/>
      <w:r>
        <w:rPr/>
        <w:t>Suspense Account</w:t>
      </w:r>
      <w:bookmarkEnd w:id="30"/>
    </w:p>
    <w:p>
      <w:pPr>
        <w:pStyle w:val="AWGNumberedListAlt3"/>
        <w:numPr>
          <w:ilvl w:val="3"/>
          <w:numId w:val="3"/>
        </w:numPr>
        <w:tabs>
          <w:tab w:val="clear" w:pos="720"/>
          <w:tab w:val="left" w:pos="420" w:leader="none"/>
        </w:tabs>
        <w:rPr/>
      </w:pPr>
      <w:r>
        <w:rPr/>
        <w:t xml:space="preserve">The remaining provisions of this Section </w:t>
      </w:r>
      <w:r>
        <w:rPr/>
        <w:fldChar w:fldCharType="begin"/>
      </w:r>
      <w:r>
        <w:rPr/>
        <w:instrText> REF _Ref534722307 \r \h </w:instrText>
      </w:r>
      <w:r>
        <w:rPr/>
        <w:fldChar w:fldCharType="separate"/>
      </w:r>
      <w:r>
        <w:rPr/>
        <w:t>6.4</w:t>
      </w:r>
      <w:r>
        <w:rPr/>
        <w:fldChar w:fldCharType="end"/>
      </w:r>
      <w:r>
        <w:rPr/>
        <w:t xml:space="preserve"> shall not apply to the extent expressly disapplied or replaced in its entirety by any provision in the Principal Finance Document or the Principal Security Agreement.</w:t>
      </w:r>
    </w:p>
    <w:p>
      <w:pPr>
        <w:pStyle w:val="AWGNumberedListAlt3"/>
        <w:numPr>
          <w:ilvl w:val="3"/>
          <w:numId w:val="3"/>
        </w:numPr>
        <w:tabs>
          <w:tab w:val="clear" w:pos="720"/>
          <w:tab w:val="left" w:pos="435" w:leader="none"/>
        </w:tabs>
        <w:rPr>
          <w:rFonts w:ascii="DejaVu Serif" w:hAnsi="DejaVu Serif"/>
        </w:rPr>
      </w:pPr>
      <w:r>
        <w:rPr/>
        <w:t>At any time while an Event of Default is continuing, if further sums which are not currently due and payable to a Finance Party may become due and payable to such Finance Party, any moneys received by the Secured Party (or any trustee or agent on its behalf) up to the amount of such further sums may be retained 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p>
    <w:p>
      <w:pPr>
        <w:pStyle w:val="AWGNumberedList1"/>
        <w:numPr>
          <w:ilvl w:val="0"/>
          <w:numId w:val="3"/>
        </w:numPr>
        <w:jc w:val="left"/>
        <w:rPr>
          <w:rFonts w:ascii="DejaVu Serif" w:hAnsi="DejaVu Serif"/>
        </w:rPr>
      </w:pPr>
      <w:bookmarkStart w:id="31" w:name="_Ref527127988"/>
      <w:r>
        <w:rPr/>
        <w:t>ASSIGNMENT AND TRANSFER; TRUSTEE APPROVALS</w:t>
      </w:r>
      <w:bookmarkEnd w:id="31"/>
    </w:p>
    <w:p>
      <w:pPr>
        <w:pStyle w:val="AWGNumberedList2"/>
        <w:numPr>
          <w:ilvl w:val="1"/>
          <w:numId w:val="3"/>
        </w:numPr>
        <w:rPr>
          <w:rFonts w:ascii="DejaVu Serif" w:hAnsi="DejaVu Serif"/>
        </w:rPr>
      </w:pPr>
      <w:r>
        <w:rPr/>
        <w:t>Assignments and Transfers Generally</w:t>
      </w:r>
    </w:p>
    <w:p>
      <w:pPr>
        <w:pStyle w:val="AWGBodyText1"/>
        <w:rPr/>
      </w:pPr>
      <w:r>
        <w:rPr/>
        <w:t xml:space="preserve">The GATS Security Instrument shall be binding upon and shall inure to the benefit of, and shall be enforceable by, the parties to the GATS Security Instrument (including the Trustee in respect of those provisions by which it has agreed to be bound) and, subject to the remaining provisions of this Section </w:t>
      </w:r>
      <w:r>
        <w:rPr/>
        <w:fldChar w:fldCharType="begin"/>
      </w:r>
      <w:r>
        <w:rPr/>
        <w:instrText> REF _Ref527127988 \r \h </w:instrText>
      </w:r>
      <w:r>
        <w:rPr/>
        <w:fldChar w:fldCharType="separate"/>
      </w:r>
      <w:r>
        <w:rPr/>
        <w:t>7</w:t>
      </w:r>
      <w:r>
        <w:rPr/>
        <w:fldChar w:fldCharType="end"/>
      </w:r>
      <w:r>
        <w:rPr/>
        <w:t>, their respective successors and permitted assigns.</w:t>
      </w:r>
    </w:p>
    <w:p>
      <w:pPr>
        <w:pStyle w:val="AWGNumberedList2"/>
        <w:numPr>
          <w:ilvl w:val="1"/>
          <w:numId w:val="3"/>
        </w:numPr>
        <w:rPr>
          <w:rFonts w:ascii="DejaVu Serif" w:hAnsi="DejaVu Serif"/>
        </w:rPr>
      </w:pPr>
      <w:r>
        <w:rPr/>
        <w:t>No Assignment or Transfers by Beneficiary</w:t>
      </w:r>
    </w:p>
    <w:p>
      <w:pPr>
        <w:pStyle w:val="AWGBodyText1"/>
        <w:rPr>
          <w:rFonts w:ascii="DejaVu Serif" w:hAnsi="DejaVu Serif"/>
        </w:rPr>
      </w:pPr>
      <w:r>
        <w:rPr/>
        <w:t>The Beneficiary may not assign any of its rights or transfer any of its rights or obligations under the GATS Security Instrument.</w:t>
      </w:r>
    </w:p>
    <w:p>
      <w:pPr>
        <w:pStyle w:val="AWGNumberedList2"/>
        <w:numPr>
          <w:ilvl w:val="1"/>
          <w:numId w:val="3"/>
        </w:numPr>
        <w:rPr>
          <w:rFonts w:ascii="DejaVu Serif" w:hAnsi="DejaVu Serif"/>
        </w:rPr>
      </w:pPr>
      <w:r>
        <w:rPr/>
        <w:t>Assignments and Transfers by Secured Party</w:t>
      </w:r>
    </w:p>
    <w:p>
      <w:pPr>
        <w:pStyle w:val="AWGNumberedListAlt3"/>
        <w:numPr>
          <w:ilvl w:val="3"/>
          <w:numId w:val="3"/>
        </w:numPr>
        <w:tabs>
          <w:tab w:val="clear" w:pos="720"/>
          <w:tab w:val="left" w:pos="480" w:leader="none"/>
        </w:tabs>
        <w:rPr>
          <w:rFonts w:ascii="DejaVu Serif" w:hAnsi="DejaVu Serif"/>
        </w:rPr>
      </w:pPr>
      <w:r>
        <w:rPr/>
        <w:t>The Secured Party may assign and transfer:</w:t>
      </w:r>
    </w:p>
    <w:p>
      <w:pPr>
        <w:pStyle w:val="AWGNumberedListAlt4"/>
        <w:numPr>
          <w:ilvl w:val="5"/>
          <w:numId w:val="3"/>
        </w:numPr>
        <w:tabs>
          <w:tab w:val="clear" w:pos="720"/>
          <w:tab w:val="left" w:pos="885" w:leader="none"/>
        </w:tabs>
        <w:rPr>
          <w:rFonts w:ascii="DejaVu Serif" w:hAnsi="DejaVu Serif"/>
        </w:rPr>
      </w:pPr>
      <w:r>
        <w:rPr>
          <w:lang w:val="en-US"/>
        </w:rPr>
        <w:t>all of its rights, title and interest in and to the Security Interest assigned, charged or granted to it pursuant to the GATS Security Instrument (or assigned to it pursuant to a GATS Security Transfer Instrument, as applicable); and</w:t>
      </w:r>
    </w:p>
    <w:p>
      <w:pPr>
        <w:pStyle w:val="AWGNumberedListAlt4"/>
        <w:numPr>
          <w:ilvl w:val="5"/>
          <w:numId w:val="3"/>
        </w:numPr>
        <w:tabs>
          <w:tab w:val="clear" w:pos="720"/>
          <w:tab w:val="left" w:pos="900" w:leader="none"/>
        </w:tabs>
        <w:rPr>
          <w:rFonts w:ascii="DejaVu Serif" w:hAnsi="DejaVu Serif"/>
        </w:rPr>
      </w:pPr>
      <w:r>
        <w:rPr>
          <w:lang w:val="en-US"/>
        </w:rPr>
        <w:t>all or any of its rights and obligations under the GATS Security Instrument,</w:t>
      </w:r>
    </w:p>
    <w:p>
      <w:pPr>
        <w:pStyle w:val="AWGBodyText1"/>
        <w:rPr>
          <w:rFonts w:ascii="DejaVu Serif" w:hAnsi="DejaVu Serif"/>
        </w:rPr>
      </w:pPr>
      <w:r>
        <w:rPr/>
        <w:t>without the consent of the Beneficiary or the Trustee, including upon the execution and delivery of a GATS Security Transfer Instrument in favour of a New Secured Party.</w:t>
      </w:r>
    </w:p>
    <w:p>
      <w:pPr>
        <w:pStyle w:val="AWGNumberedListAlt3"/>
        <w:numPr>
          <w:ilvl w:val="3"/>
          <w:numId w:val="3"/>
        </w:numPr>
        <w:tabs>
          <w:tab w:val="clear" w:pos="720"/>
          <w:tab w:val="left" w:pos="495" w:leader="none"/>
        </w:tabs>
        <w:rPr>
          <w:rFonts w:ascii="DejaVu Serif" w:hAnsi="DejaVu Serif"/>
        </w:rPr>
      </w:pPr>
      <w:r>
        <w:rPr/>
        <w:t>Upon a GATS Security Transfer Instrument taking effect, each of the Beneficiary and the Trustee, for the benefit of the Secured Party and the New Secured Party:</w:t>
      </w:r>
    </w:p>
    <w:p>
      <w:pPr>
        <w:pStyle w:val="AWGNumberedListAlt4"/>
        <w:numPr>
          <w:ilvl w:val="5"/>
          <w:numId w:val="3"/>
        </w:numPr>
        <w:tabs>
          <w:tab w:val="clear" w:pos="720"/>
          <w:tab w:val="left" w:pos="930" w:leader="none"/>
        </w:tabs>
        <w:rPr>
          <w:rFonts w:ascii="DejaVu Serif" w:hAnsi="DejaVu Serif"/>
        </w:rPr>
      </w:pPr>
      <w:r>
        <w:rPr/>
        <w:t>consents and agrees to the assignment and transfer described in such GATS Security Transfer Instrument, and agrees to be bound by the consent and agreement expressed to be given by it in section 2.2(c) of such GATS Security Transfer Instrument;</w:t>
      </w:r>
    </w:p>
    <w:p>
      <w:pPr>
        <w:pStyle w:val="AWGNumberedListAlt4"/>
        <w:numPr>
          <w:ilvl w:val="5"/>
          <w:numId w:val="3"/>
        </w:numPr>
        <w:tabs>
          <w:tab w:val="clear" w:pos="720"/>
          <w:tab w:val="left" w:pos="930" w:leader="none"/>
        </w:tabs>
        <w:rPr>
          <w:rFonts w:ascii="DejaVu Serif" w:hAnsi="DejaVu Serif"/>
        </w:rPr>
      </w:pPr>
      <w:r>
        <w:rPr/>
        <w:t>consents and agrees to the amendment of schedule 2 (</w:t>
      </w:r>
      <w:r>
        <w:rPr>
          <w:i/>
        </w:rPr>
        <w:t>Party Details</w:t>
      </w:r>
      <w:r>
        <w:rPr/>
        <w:t>) to the GATS Security Instrument to replace the name and details of the Secured Party with those of the New Secured Party identified in schedule 2 (</w:t>
      </w:r>
      <w:r>
        <w:rPr>
          <w:i/>
        </w:rPr>
        <w:t>Party Details</w:t>
      </w:r>
      <w:r>
        <w:rPr/>
        <w:t>) to such GATS Security Transfer Instrument); and</w:t>
      </w:r>
    </w:p>
    <w:p>
      <w:pPr>
        <w:pStyle w:val="AWGNumberedListAlt4"/>
        <w:numPr>
          <w:ilvl w:val="5"/>
          <w:numId w:val="3"/>
        </w:numPr>
        <w:rPr>
          <w:rFonts w:ascii="DejaVu Serif" w:hAnsi="DejaVu Serif"/>
        </w:rPr>
      </w:pPr>
      <w:r>
        <w:rPr/>
        <w:t>otherwise agrees to the terms of such GATS Security Transfer Instrument.</w:t>
      </w:r>
    </w:p>
    <w:p>
      <w:pPr>
        <w:pStyle w:val="AWGNumberedListAlt3"/>
        <w:numPr>
          <w:ilvl w:val="3"/>
          <w:numId w:val="3"/>
        </w:numPr>
        <w:tabs>
          <w:tab w:val="clear" w:pos="720"/>
          <w:tab w:val="left" w:pos="465" w:leader="none"/>
        </w:tabs>
        <w:rPr>
          <w:rFonts w:ascii="DejaVu Serif" w:hAnsi="DejaVu Serif"/>
        </w:rPr>
      </w:pPr>
      <w:r>
        <w:rPr>
          <w:lang w:val="en-US"/>
        </w:rPr>
        <w:t xml:space="preserve">The Secured Party may assign, charge or grant a Security Interest in any of its rights under the GATS Security Instrument without the consent of the Beneficiary or the Trustee. </w:t>
      </w:r>
    </w:p>
    <w:p>
      <w:pPr>
        <w:pStyle w:val="AWGNumberedList2"/>
        <w:numPr>
          <w:ilvl w:val="1"/>
          <w:numId w:val="3"/>
        </w:numPr>
        <w:rPr>
          <w:rFonts w:ascii="DejaVu Serif" w:hAnsi="DejaVu Serif"/>
        </w:rPr>
      </w:pPr>
      <w:r>
        <w:rPr/>
        <w:t>Assignments and Transfers by Trustee</w:t>
      </w:r>
    </w:p>
    <w:p>
      <w:pPr>
        <w:pStyle w:val="AWGBodyText1"/>
        <w:rPr>
          <w:rFonts w:ascii="DejaVu Serif" w:hAnsi="DejaVu Serif"/>
        </w:rPr>
      </w:pPr>
      <w:r>
        <w:rPr/>
        <w:t>The Trustee may not assign or transfer any of its Rights and Obligations under the GATS Security Instrument except pursuant to the execution and delivery of a Transfer Instrument in connection with the appointment of a New Trustee and an assignment and transfer of its Rights and Obligations to such New Trustee under the GATS Trust Instrument in accordance with section 11 of the Trust Instrument Master Terms.</w:t>
      </w:r>
    </w:p>
    <w:p>
      <w:pPr>
        <w:pStyle w:val="AWGNumberedList1"/>
        <w:numPr>
          <w:ilvl w:val="0"/>
          <w:numId w:val="3"/>
        </w:numPr>
        <w:jc w:val="left"/>
        <w:rPr>
          <w:rFonts w:ascii="DejaVu Serif" w:hAnsi="DejaVu Serif"/>
        </w:rPr>
      </w:pPr>
      <w:r>
        <w:rPr/>
        <w:t>AMENDMENTS; WAIVERS</w:t>
      </w:r>
    </w:p>
    <w:p>
      <w:pPr>
        <w:pStyle w:val="AWGNumberedList2"/>
        <w:numPr>
          <w:ilvl w:val="1"/>
          <w:numId w:val="3"/>
        </w:numPr>
        <w:rPr>
          <w:rFonts w:ascii="DejaVu Serif" w:hAnsi="DejaVu Serif"/>
        </w:rPr>
      </w:pPr>
      <w:bookmarkStart w:id="32" w:name="_Ref527128017"/>
      <w:r>
        <w:rPr/>
        <w:t>Amendments</w:t>
      </w:r>
      <w:bookmarkEnd w:id="32"/>
    </w:p>
    <w:p>
      <w:pPr>
        <w:pStyle w:val="AWGNumberedListAlt3"/>
        <w:numPr>
          <w:ilvl w:val="3"/>
          <w:numId w:val="3"/>
        </w:numPr>
        <w:tabs>
          <w:tab w:val="clear" w:pos="720"/>
          <w:tab w:val="left" w:pos="420" w:leader="none"/>
        </w:tabs>
        <w:rPr>
          <w:rFonts w:ascii="DejaVu Serif" w:hAnsi="DejaVu Serif"/>
        </w:rPr>
      </w:pPr>
      <w:r>
        <w:rPr/>
        <w:t>Neither the GATS Security Instrument, the Master Terms nor any other GATS Security Document may be amended, modified, or otherwise altered, except to the extent any such amendment is a Permitted GATS Amendment.</w:t>
      </w:r>
    </w:p>
    <w:p>
      <w:pPr>
        <w:pStyle w:val="AWGNumberedListAlt3"/>
        <w:numPr>
          <w:ilvl w:val="3"/>
          <w:numId w:val="3"/>
        </w:numPr>
        <w:tabs>
          <w:tab w:val="clear" w:pos="720"/>
          <w:tab w:val="left" w:pos="465" w:leader="none"/>
        </w:tabs>
        <w:rPr/>
      </w:pPr>
      <w:r>
        <w:rPr/>
        <w:t xml:space="preserve">For the purposes of this Section </w:t>
      </w:r>
      <w:r>
        <w:rPr/>
        <w:fldChar w:fldCharType="begin"/>
      </w:r>
      <w:r>
        <w:rPr/>
        <w:instrText> REF _Ref527128017 \r \h </w:instrText>
      </w:r>
      <w:r>
        <w:rPr/>
        <w:fldChar w:fldCharType="separate"/>
      </w:r>
      <w:r>
        <w:rPr/>
        <w:t>8.1</w:t>
      </w:r>
      <w:r>
        <w:rPr/>
        <w:fldChar w:fldCharType="end"/>
      </w:r>
      <w:r>
        <w:rPr/>
        <w:t>, the supplementing of any provision in any document shall not be deemed to be an amendment, modification or alteration to the extent such supplemental provision neither conflicts nor is inconsistent with such provision.</w:t>
      </w:r>
    </w:p>
    <w:p>
      <w:pPr>
        <w:pStyle w:val="AWGNumberedList2"/>
        <w:numPr>
          <w:ilvl w:val="1"/>
          <w:numId w:val="3"/>
        </w:numPr>
        <w:rPr>
          <w:rFonts w:ascii="DejaVu Serif" w:hAnsi="DejaVu Serif"/>
        </w:rPr>
      </w:pPr>
      <w:bookmarkStart w:id="33" w:name="_Ref527128559"/>
      <w:r>
        <w:rPr/>
        <w:t>Waivers</w:t>
      </w:r>
      <w:bookmarkEnd w:id="33"/>
    </w:p>
    <w:p>
      <w:pPr>
        <w:pStyle w:val="AWGBodyText1"/>
        <w:rPr/>
      </w:pPr>
      <w:r>
        <w:rPr/>
        <w:t xml:space="preserve">Any provision of the GATS Security Instrument or any other GATS Security Document may be waived by the Secured Party in a written notice or instrument executed by the Secured Party and delivered to the Beneficiary and the Trustee in accordance with Section </w:t>
      </w:r>
      <w:r>
        <w:rPr/>
        <w:fldChar w:fldCharType="begin"/>
      </w:r>
      <w:r>
        <w:rPr/>
        <w:instrText> REF _Ref527128602 \r \h </w:instrText>
      </w:r>
      <w:r>
        <w:rPr/>
        <w:fldChar w:fldCharType="separate"/>
      </w:r>
      <w:r>
        <w:rPr/>
        <w:t>11.5</w:t>
      </w:r>
      <w:r>
        <w:rPr/>
        <w:fldChar w:fldCharType="end"/>
      </w:r>
      <w:r>
        <w:rPr/>
        <w:t>.</w:t>
      </w:r>
    </w:p>
    <w:p>
      <w:pPr>
        <w:pStyle w:val="AWGNumberedList2"/>
        <w:numPr>
          <w:ilvl w:val="1"/>
          <w:numId w:val="3"/>
        </w:numPr>
        <w:rPr>
          <w:rFonts w:ascii="DejaVu Serif" w:hAnsi="DejaVu Serif"/>
        </w:rPr>
      </w:pPr>
      <w:bookmarkStart w:id="34" w:name="_Ref31390554"/>
      <w:r>
        <w:rPr/>
        <w:t>Additional Markings on Documents for Filing</w:t>
      </w:r>
      <w:bookmarkEnd w:id="34"/>
      <w:r>
        <w:rPr/>
        <w:t xml:space="preserve"> Purposes</w:t>
      </w:r>
    </w:p>
    <w:p>
      <w:pPr>
        <w:pStyle w:val="AWGNumberedListAlt3"/>
        <w:numPr>
          <w:ilvl w:val="2"/>
          <w:numId w:val="1"/>
        </w:numPr>
        <w:rPr>
          <w:rFonts w:ascii="DejaVu Serif" w:hAnsi="DejaVu Serif"/>
        </w:rPr>
      </w:pPr>
      <w:r>
        <w:rPr/>
        <w:t>For the purposes of filing any GATS Security Document with the applicable Aviation Authority or any other Governmental Authority, the parties may agree that additional markings may, either electronically or manually, be made to or printed on any electronic copy or hardcopy of such GATS Security Document stored outside of the GATS Platform, in order to:</w:t>
      </w:r>
    </w:p>
    <w:p>
      <w:pPr>
        <w:pStyle w:val="AWGNumberedListAlt4"/>
        <w:numPr>
          <w:ilvl w:val="5"/>
          <w:numId w:val="3"/>
        </w:numPr>
        <w:tabs>
          <w:tab w:val="clear" w:pos="720"/>
          <w:tab w:val="left" w:pos="870" w:leader="none"/>
        </w:tabs>
        <w:rPr>
          <w:rFonts w:ascii="DejaVu Serif" w:hAnsi="DejaVu Serif"/>
        </w:rPr>
      </w:pPr>
      <w:r>
        <w:rPr/>
        <w:t>make any clarifications to the description of any Aircraft Equipment described in such GATS Security Document; or</w:t>
      </w:r>
    </w:p>
    <w:p>
      <w:pPr>
        <w:pStyle w:val="AWGNumberedListAlt4"/>
        <w:numPr>
          <w:ilvl w:val="5"/>
          <w:numId w:val="3"/>
        </w:numPr>
        <w:tabs>
          <w:tab w:val="clear" w:pos="720"/>
          <w:tab w:val="left" w:pos="915" w:leader="none"/>
        </w:tabs>
        <w:rPr>
          <w:rFonts w:ascii="DejaVu Serif" w:hAnsi="DejaVu Serif"/>
        </w:rPr>
      </w:pPr>
      <w:r>
        <w:rPr/>
        <w:t>reference the filing information of such GATS Security Document or any other GATS Security Document with such Aviation Authority or such Governmental Authority or any other Aviation Authority or Governmental Authority,</w:t>
      </w:r>
    </w:p>
    <w:p>
      <w:pPr>
        <w:pStyle w:val="AWGBodyText1"/>
        <w:rPr>
          <w:rFonts w:ascii="DejaVu Serif" w:hAnsi="DejaVu Serif"/>
        </w:rPr>
      </w:pPr>
      <w:r>
        <w:rPr/>
        <w:t>in each case in conformity with such Aviation Authority’s or Governmental Authority’s requirements, policies and practices.</w:t>
      </w:r>
    </w:p>
    <w:p>
      <w:pPr>
        <w:pStyle w:val="AWGNumberedListAlt3"/>
        <w:numPr>
          <w:ilvl w:val="2"/>
          <w:numId w:val="1"/>
        </w:numPr>
        <w:rPr/>
      </w:pPr>
      <w:r>
        <w:rPr/>
        <w:t xml:space="preserve">The making of any such markings to any electronic copy or hardcopy of any GATS Security Document in accordance with this Section </w:t>
      </w:r>
      <w:r>
        <w:rPr/>
        <w:fldChar w:fldCharType="begin"/>
      </w:r>
      <w:r>
        <w:rPr/>
        <w:instrText> REF _Ref31390554 \r \h </w:instrText>
      </w:r>
      <w:r>
        <w:rPr/>
        <w:fldChar w:fldCharType="separate"/>
      </w:r>
      <w:r>
        <w:rPr/>
        <w:t>8.3</w:t>
      </w:r>
      <w:r>
        <w:rPr/>
        <w:fldChar w:fldCharType="end"/>
      </w:r>
      <w:r>
        <w:rPr/>
        <w:t xml:space="preserve"> shall not constitute an amendment, modification or alteration of such GATS Security Document.</w:t>
      </w:r>
    </w:p>
    <w:p>
      <w:pPr>
        <w:pStyle w:val="AWGNumberedList1"/>
        <w:numPr>
          <w:ilvl w:val="0"/>
          <w:numId w:val="3"/>
        </w:numPr>
        <w:jc w:val="left"/>
        <w:rPr>
          <w:rFonts w:ascii="DejaVu Serif" w:hAnsi="DejaVu Serif"/>
        </w:rPr>
      </w:pPr>
      <w:bookmarkStart w:id="35" w:name="_Ref527127922"/>
      <w:r>
        <w:rPr/>
        <w:t>RELEASE AND DISCHARGE</w:t>
      </w:r>
      <w:bookmarkEnd w:id="35"/>
    </w:p>
    <w:p>
      <w:pPr>
        <w:pStyle w:val="AWGBodyText1"/>
        <w:rPr>
          <w:rFonts w:ascii="DejaVu Serif" w:hAnsi="DejaVu Serif"/>
        </w:rPr>
      </w:pPr>
      <w:r>
        <w:rPr/>
        <w:t xml:space="preserve">Upon the Secured Party being satisfied that the Secured Obligations have been irrevocably and unconditionally discharged in full, or to the extent the Secured Party is required to do so under any Finance Document, the Secured Party shall, at the request and cost of the Beneficiary, execute and deliver a GATS Release and Discharge (with respect to all or the relevant portion of the Collateral, as applicable), without recourse to, and without any representations or warranties by, the Secured Party or any of its nominees.  </w:t>
      </w:r>
    </w:p>
    <w:p>
      <w:pPr>
        <w:pStyle w:val="AWGNumberedList1"/>
        <w:numPr>
          <w:ilvl w:val="0"/>
          <w:numId w:val="3"/>
        </w:numPr>
        <w:jc w:val="left"/>
        <w:rPr>
          <w:rFonts w:ascii="DejaVu Serif" w:hAnsi="DejaVu Serif"/>
        </w:rPr>
      </w:pPr>
      <w:bookmarkStart w:id="36" w:name="_Hlk32427838"/>
      <w:r>
        <w:rPr/>
        <w:t>Appointment of Attorneys-in-Fact</w:t>
      </w:r>
      <w:bookmarkEnd w:id="36"/>
    </w:p>
    <w:p>
      <w:pPr>
        <w:pStyle w:val="AWGNumberedListAlt3"/>
        <w:numPr>
          <w:ilvl w:val="1"/>
          <w:numId w:val="3"/>
        </w:numPr>
        <w:rPr>
          <w:rFonts w:ascii="DejaVu Serif" w:hAnsi="DejaVu Serif"/>
        </w:rPr>
      </w:pPr>
      <w:r>
        <w:rPr>
          <w:lang w:val="en-US"/>
        </w:rPr>
        <w:t xml:space="preserve">Powers  </w:t>
      </w:r>
    </w:p>
    <w:p>
      <w:pPr>
        <w:pStyle w:val="AWGBodyText1"/>
        <w:rPr>
          <w:rFonts w:ascii="DejaVu Serif" w:hAnsi="DejaVu Serif"/>
        </w:rPr>
      </w:pPr>
      <w:r>
        <w:rPr>
          <w:lang w:val="en-US"/>
        </w:rPr>
        <w:t>The Beneficiary by way of security hereby irrevocably constitutes and appoints the Secured Party, each Receiver and any of their delegates, jointly and also severally, 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such party's discretion, for the purpose of carrying out the terms of the GATS Security Instrument, to take any and all appropriate action and to execute, seal and deliver and otherwise perfect any and all documents and instruments which may be necessary or desirable to accomplish the purposes of the GATS Security Instrument, and, without limiting the generality of the foregoing, the Beneficiary hereby gives each attorney appointed under this Section the power and right, on behalf of the Beneficiary, without notice to or assent by the Beneficiary, to do the following upon the occurrence and continuation of an Event of Default:</w:t>
      </w:r>
    </w:p>
    <w:p>
      <w:pPr>
        <w:pStyle w:val="AWGNumberedListAlt4"/>
        <w:numPr>
          <w:ilvl w:val="3"/>
          <w:numId w:val="3"/>
        </w:numPr>
        <w:tabs>
          <w:tab w:val="clear" w:pos="720"/>
          <w:tab w:val="left" w:pos="465" w:leader="none"/>
        </w:tabs>
        <w:rPr>
          <w:rFonts w:ascii="DejaVu Serif" w:hAnsi="DejaVu Serif"/>
        </w:rPr>
      </w:pPr>
      <w:r>
        <w:rPr>
          <w:lang w:val="en-US"/>
        </w:rPr>
        <w:t>in the case of any Collateral, in the name of the Beneficiary, its own name or otherwise, take possession of and endorse and collect any checks, drafts, notes, acceptances or other instruments for the payment of moneys due under any agreement constituting part of or relating to the Pledged Beneficial Interest or with respect to any other Collateral and to file any claim or take any other action or proceeding in any court of law or equity or otherwise deemed appropriate by such attorney for the purpose of collecting any and all such moneys due under any agreement constituting part of or relating to the Pledged Beneficial Interest or with respect to any other Collateral whenever payable;</w:t>
      </w:r>
    </w:p>
    <w:p>
      <w:pPr>
        <w:pStyle w:val="AWGNumberedListAlt4"/>
        <w:numPr>
          <w:ilvl w:val="3"/>
          <w:numId w:val="3"/>
        </w:numPr>
        <w:tabs>
          <w:tab w:val="clear" w:pos="720"/>
          <w:tab w:val="left" w:pos="465" w:leader="none"/>
        </w:tabs>
        <w:rPr>
          <w:rFonts w:ascii="DejaVu Serif" w:hAnsi="DejaVu Serif"/>
        </w:rPr>
      </w:pPr>
      <w:r>
        <w:rPr>
          <w:lang w:val="en-US"/>
        </w:rPr>
        <w:t>pay or discharge taxes and Security Interests levied or placed on or threatened against all or any part of the Collateral;</w:t>
      </w:r>
    </w:p>
    <w:p>
      <w:pPr>
        <w:pStyle w:val="AWGNumberedListAlt4"/>
        <w:numPr>
          <w:ilvl w:val="3"/>
          <w:numId w:val="3"/>
        </w:numPr>
        <w:tabs>
          <w:tab w:val="clear" w:pos="720"/>
          <w:tab w:val="left" w:pos="465" w:leader="none"/>
        </w:tabs>
        <w:rPr>
          <w:rFonts w:ascii="DejaVu Serif" w:hAnsi="DejaVu Serif"/>
        </w:rPr>
      </w:pPr>
      <w:r>
        <w:rPr>
          <w:lang w:val="en-US"/>
        </w:rPr>
        <w:t>direct any party liable for any payment under any of the Collateral to make payment of any and all moneys due or to become due thereunder directly to such attorney or as such attorney shall direct;</w:t>
      </w:r>
    </w:p>
    <w:p>
      <w:pPr>
        <w:pStyle w:val="AWGNumberedListAlt4"/>
        <w:numPr>
          <w:ilvl w:val="3"/>
          <w:numId w:val="3"/>
        </w:numPr>
        <w:tabs>
          <w:tab w:val="clear" w:pos="720"/>
          <w:tab w:val="left" w:pos="465" w:leader="none"/>
        </w:tabs>
        <w:rPr>
          <w:rFonts w:ascii="DejaVu Serif" w:hAnsi="DejaVu Serif"/>
        </w:rPr>
      </w:pPr>
      <w:r>
        <w:rPr>
          <w:lang w:val="en-US"/>
        </w:rPr>
        <w:t xml:space="preserve">ask or demand for, collect, receive payment of and receipt for, any and all moneys, claims and other amounts due or to become due at any time in respect of or arising out of any Collateral; </w:t>
      </w:r>
    </w:p>
    <w:p>
      <w:pPr>
        <w:pStyle w:val="AWGNumberedListAlt4"/>
        <w:numPr>
          <w:ilvl w:val="3"/>
          <w:numId w:val="3"/>
        </w:numPr>
        <w:tabs>
          <w:tab w:val="clear" w:pos="720"/>
          <w:tab w:val="left" w:pos="465" w:leader="none"/>
        </w:tabs>
        <w:rPr>
          <w:rFonts w:ascii="DejaVu Serif" w:hAnsi="DejaVu Serif"/>
        </w:rPr>
      </w:pPr>
      <w:r>
        <w:rPr>
          <w:lang w:val="en-US"/>
        </w:rPr>
        <w:t xml:space="preserve">commence and prosecute any suits, actions or proceedings at law or in equity in any court of competent jurisdiction to collect the Collateral or any thereof and to enforce any other right in respect of any Collateral; </w:t>
      </w:r>
    </w:p>
    <w:p>
      <w:pPr>
        <w:pStyle w:val="AWGNumberedListAlt4"/>
        <w:numPr>
          <w:ilvl w:val="3"/>
          <w:numId w:val="3"/>
        </w:numPr>
        <w:tabs>
          <w:tab w:val="clear" w:pos="720"/>
          <w:tab w:val="left" w:pos="465" w:leader="none"/>
        </w:tabs>
        <w:rPr>
          <w:rFonts w:ascii="DejaVu Serif" w:hAnsi="DejaVu Serif"/>
        </w:rPr>
      </w:pPr>
      <w:bookmarkStart w:id="37" w:name="_Ref18508661"/>
      <w:r>
        <w:rPr>
          <w:lang w:val="en-US"/>
        </w:rPr>
        <w:t>to defend any suit, action or proceeding brought against the Beneficiary with respect to any Collateral;</w:t>
      </w:r>
      <w:bookmarkEnd w:id="37"/>
      <w:r>
        <w:rPr>
          <w:lang w:val="en-US"/>
        </w:rPr>
        <w:t xml:space="preserve"> </w:t>
      </w:r>
    </w:p>
    <w:p>
      <w:pPr>
        <w:pStyle w:val="AWGNumberedListAlt4"/>
        <w:numPr>
          <w:ilvl w:val="3"/>
          <w:numId w:val="3"/>
        </w:numPr>
        <w:tabs>
          <w:tab w:val="clear" w:pos="720"/>
          <w:tab w:val="left" w:pos="465" w:leader="none"/>
        </w:tabs>
        <w:rPr/>
      </w:pPr>
      <w:r>
        <w:rPr>
          <w:lang w:val="en-US"/>
        </w:rPr>
        <w:t xml:space="preserve">settle, compromise or adjust any suit, action or proceeding described in paragraph </w:t>
      </w:r>
      <w:r>
        <w:rPr/>
        <w:fldChar w:fldCharType="begin"/>
      </w:r>
      <w:r>
        <w:rPr/>
        <w:instrText> REF _Ref18508661 \n \h </w:instrText>
      </w:r>
      <w:r>
        <w:rPr/>
        <w:fldChar w:fldCharType="separate"/>
      </w:r>
      <w:r>
        <w:rPr/>
        <w:t>(f)</w:t>
      </w:r>
      <w:r>
        <w:rPr/>
        <w:fldChar w:fldCharType="end"/>
      </w:r>
      <w:r>
        <w:rPr>
          <w:lang w:val="en-US"/>
        </w:rPr>
        <w:t xml:space="preserve"> above and, in connection therewith, give such discharges or releases as such attorney may deem appropriate; and </w:t>
      </w:r>
    </w:p>
    <w:p>
      <w:pPr>
        <w:pStyle w:val="AWGNumberedListAlt4"/>
        <w:numPr>
          <w:ilvl w:val="3"/>
          <w:numId w:val="3"/>
        </w:numPr>
        <w:tabs>
          <w:tab w:val="clear" w:pos="720"/>
          <w:tab w:val="left" w:pos="465" w:leader="none"/>
        </w:tabs>
        <w:rPr>
          <w:rFonts w:ascii="DejaVu Serif" w:hAnsi="DejaVu Serif"/>
        </w:rPr>
      </w:pPr>
      <w:r>
        <w:rPr>
          <w:lang w:val="en-US"/>
        </w:rPr>
        <w:t>generally, sell, transfer, pledge and make any agreement with respect to or otherwise deal with any of the Collateral as fully and completely as though such attorney were the absolute owner thereof for all purposes, and perform at the attorney's option and the Beneficiary’s expense, at any time, or from time to time, all acts and things which such attorney reasonably deems necessary to protect, preserve or realise upon the Collateral and the Security Interest assigned, charged or granted pursuant to the GATS Security Instrument and to effect the intent of the GATS Security Instrument, all as fully and effectively as the Beneficiary might do.</w:t>
      </w:r>
    </w:p>
    <w:p>
      <w:pPr>
        <w:pStyle w:val="AWGNumberedListAlt3"/>
        <w:numPr>
          <w:ilvl w:val="1"/>
          <w:numId w:val="3"/>
        </w:numPr>
        <w:rPr>
          <w:rFonts w:ascii="DejaVu Serif" w:hAnsi="DejaVu Serif"/>
        </w:rPr>
      </w:pPr>
      <w:r>
        <w:rPr>
          <w:lang w:val="en-US"/>
        </w:rPr>
        <w:t>Irrevocability</w:t>
      </w:r>
    </w:p>
    <w:p>
      <w:pPr>
        <w:pStyle w:val="AWGBodyText1"/>
        <w:rPr>
          <w:rFonts w:ascii="DejaVu Serif" w:hAnsi="DejaVu Serif"/>
        </w:rPr>
      </w:pPr>
      <w:r>
        <w:rPr>
          <w:lang w:val="en-US"/>
        </w:rPr>
        <w:t>This power of attorney is a power coupled with an interest and shall be irrevocable.</w:t>
      </w:r>
    </w:p>
    <w:p>
      <w:pPr>
        <w:pStyle w:val="AWGNumberedListAlt3"/>
        <w:numPr>
          <w:ilvl w:val="1"/>
          <w:numId w:val="3"/>
        </w:numPr>
        <w:rPr>
          <w:rFonts w:ascii="DejaVu Serif" w:hAnsi="DejaVu Serif"/>
        </w:rPr>
      </w:pPr>
      <w:r>
        <w:rPr>
          <w:lang w:val="en-US"/>
        </w:rPr>
        <w:t>Other Powers</w:t>
      </w:r>
    </w:p>
    <w:p>
      <w:pPr>
        <w:pStyle w:val="AWGBodyText1"/>
        <w:rPr/>
      </w:pPr>
      <w:r>
        <w:rPr/>
        <w:t xml:space="preserve">The Beneficiary also authorises the Secured Party, each Receiver and each Delegate at any time and from time to time, to execute, in connection with any Disposition contemplated by Section </w:t>
      </w:r>
      <w:r>
        <w:rPr/>
        <w:fldChar w:fldCharType="begin"/>
      </w:r>
      <w:r>
        <w:rPr/>
        <w:instrText> REF _Ref32427963 \r \h </w:instrText>
      </w:r>
      <w:r>
        <w:rPr/>
        <w:fldChar w:fldCharType="separate"/>
      </w:r>
      <w:r>
        <w:rPr/>
        <w:t>5</w:t>
      </w:r>
      <w:r>
        <w:rPr/>
        <w:fldChar w:fldCharType="end"/>
      </w:r>
      <w:r>
        <w:rPr/>
        <w:t>, any endorsements, assignments or other instruments of conveyance or transfer with respect to the Collateral.</w:t>
      </w:r>
    </w:p>
    <w:p>
      <w:pPr>
        <w:pStyle w:val="AWGNumberedListAlt3"/>
        <w:numPr>
          <w:ilvl w:val="1"/>
          <w:numId w:val="3"/>
        </w:numPr>
        <w:rPr>
          <w:rFonts w:ascii="DejaVu Serif" w:hAnsi="DejaVu Serif"/>
        </w:rPr>
      </w:pPr>
      <w:r>
        <w:rPr>
          <w:lang w:val="en-US"/>
        </w:rPr>
        <w:t>Ratification</w:t>
      </w:r>
    </w:p>
    <w:p>
      <w:pPr>
        <w:pStyle w:val="AWGBodyText1"/>
        <w:rPr>
          <w:rFonts w:ascii="DejaVu Serif" w:hAnsi="DejaVu Serif"/>
        </w:rPr>
      </w:pPr>
      <w:r>
        <w:rPr/>
        <w:t>The Beneficiary ratifies and confirms all things done by any attorney appointed under this Section in the exercise or purported exercise of all or any of such attorney’s powers.</w:t>
      </w:r>
    </w:p>
    <w:p>
      <w:pPr>
        <w:pStyle w:val="AWGNumberedListAlt3"/>
        <w:numPr>
          <w:ilvl w:val="1"/>
          <w:numId w:val="3"/>
        </w:numPr>
        <w:rPr>
          <w:rFonts w:ascii="DejaVu Serif" w:hAnsi="DejaVu Serif"/>
        </w:rPr>
      </w:pPr>
      <w:bookmarkStart w:id="38" w:name="_Ref32351346"/>
      <w:r>
        <w:rPr>
          <w:lang w:val="en-US"/>
        </w:rPr>
        <w:t>Delegates</w:t>
      </w:r>
      <w:bookmarkEnd w:id="38"/>
    </w:p>
    <w:p>
      <w:pPr>
        <w:pStyle w:val="AWGBodyText1"/>
        <w:rPr>
          <w:rFonts w:ascii="DejaVu Serif" w:hAnsi="DejaVu Serif"/>
        </w:rPr>
      </w:pPr>
      <w:r>
        <w:rPr/>
        <w:t>The Secured Party or any Receiver may delegate by power of attorney or in any other manner, to any person, any right, power or discretion exercisable by it under the GATS Security Instrument upon any terms (including the power to sub-delegate) as it may deem fit but no such delegation shall preclude the subsequent exercise of such power by the Secured Party or any Receiver itself or himself or preclude the Secured Party or Receiver from making a subsequent delegation thereof to some other person.  Any such delegation may be revoked by the Secured Party or the Receiver at any time.</w:t>
      </w:r>
    </w:p>
    <w:p>
      <w:pPr>
        <w:pStyle w:val="AWGNumberedList1"/>
        <w:numPr>
          <w:ilvl w:val="0"/>
          <w:numId w:val="3"/>
        </w:numPr>
        <w:jc w:val="left"/>
        <w:rPr>
          <w:rFonts w:ascii="DejaVu Serif" w:hAnsi="DejaVu Serif"/>
        </w:rPr>
      </w:pPr>
      <w:r>
        <w:rPr/>
        <w:t>MISCELLANEOUS</w:t>
      </w:r>
    </w:p>
    <w:p>
      <w:pPr>
        <w:pStyle w:val="AWGNumberedList2"/>
        <w:numPr>
          <w:ilvl w:val="1"/>
          <w:numId w:val="3"/>
        </w:numPr>
        <w:rPr>
          <w:rFonts w:ascii="DejaVu Serif" w:hAnsi="DejaVu Serif"/>
        </w:rPr>
      </w:pPr>
      <w:r>
        <w:rPr/>
        <w:t>Performance by the Secured Party of Beneficiary’s Obligations</w:t>
      </w:r>
    </w:p>
    <w:p>
      <w:pPr>
        <w:pStyle w:val="AWGBodyText1"/>
        <w:rPr>
          <w:rFonts w:ascii="DejaVu Serif" w:hAnsi="DejaVu Serif"/>
        </w:rPr>
      </w:pPr>
      <w:r>
        <w:rPr/>
        <w:t>If the Beneficiary fails to perform or comply with any of its obligations under any GATS Security Document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pPr>
        <w:pStyle w:val="AWGNumberedList2"/>
        <w:numPr>
          <w:ilvl w:val="1"/>
          <w:numId w:val="3"/>
        </w:numPr>
        <w:rPr>
          <w:rFonts w:ascii="DejaVu Serif" w:hAnsi="DejaVu Serif"/>
        </w:rPr>
      </w:pPr>
      <w:r>
        <w:rPr/>
        <w:t>No Duty Imposed on Secured Party</w:t>
      </w:r>
    </w:p>
    <w:p>
      <w:pPr>
        <w:pStyle w:val="AWGBodyText1"/>
        <w:rPr>
          <w:rFonts w:ascii="DejaVu Serif" w:hAnsi="DejaVu Serif"/>
        </w:rPr>
      </w:pPr>
      <w:r>
        <w:rPr/>
        <w:t>The powers conferred on the Secured Party under the GATS Security Documents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any GATS Security Document, except for its own gross negligence or wilful misconduct.</w:t>
      </w:r>
    </w:p>
    <w:p>
      <w:pPr>
        <w:pStyle w:val="AWGNumberedList2"/>
        <w:numPr>
          <w:ilvl w:val="1"/>
          <w:numId w:val="3"/>
        </w:numPr>
        <w:rPr>
          <w:rFonts w:ascii="DejaVu Serif" w:hAnsi="DejaVu Serif"/>
        </w:rPr>
      </w:pPr>
      <w:r>
        <w:rPr/>
        <w:t>Further Assurance</w:t>
      </w:r>
    </w:p>
    <w:p>
      <w:pPr>
        <w:pStyle w:val="AWGBodyText1"/>
        <w:rPr>
          <w:rFonts w:ascii="DejaVu Serif" w:hAnsi="DejaVu Serif"/>
        </w:rPr>
      </w:pPr>
      <w:r>
        <w:rPr/>
        <w:t>At any time and from time to time, upon the written request of the Secured Party, and at the sole expense of the Beneficiary, the Beneficiary shall promptly do all such acts and execute all such documents (including assignments, transfers, security instruments, notarisations, registrations, notices and instructions) as the Secured Party may reasonably specify (and in such form as the Secured Party may reasonably require) in favour of the Secured Party or its nominee(s) to create, perfect and protect the Security Interest assigned, charged or granted or intended to be assigned, charged or 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any GATS Security Document or by law.</w:t>
      </w:r>
    </w:p>
    <w:p>
      <w:pPr>
        <w:pStyle w:val="AWGNumberedList2"/>
        <w:numPr>
          <w:ilvl w:val="1"/>
          <w:numId w:val="3"/>
        </w:numPr>
        <w:rPr>
          <w:rFonts w:ascii="DejaVu Serif" w:hAnsi="DejaVu Serif"/>
        </w:rPr>
      </w:pPr>
      <w:r>
        <w:rPr/>
        <w:t>No Waiver; Cumulative Remedies</w:t>
      </w:r>
    </w:p>
    <w:p>
      <w:pPr>
        <w:pStyle w:val="AWGNumberedListAlt3"/>
        <w:numPr>
          <w:ilvl w:val="3"/>
          <w:numId w:val="3"/>
        </w:numPr>
        <w:tabs>
          <w:tab w:val="clear" w:pos="720"/>
          <w:tab w:val="left" w:pos="435" w:leader="none"/>
        </w:tabs>
        <w:rPr/>
      </w:pPr>
      <w:r>
        <w:rPr/>
        <w:t xml:space="preserve">The Secured Party shall not by any act (except by a written notice or instrument executed and delivered in accordance with Section </w:t>
      </w:r>
      <w:r>
        <w:rPr/>
        <w:fldChar w:fldCharType="begin"/>
      </w:r>
      <w:r>
        <w:rPr/>
        <w:instrText> REF _Ref527128559 \r \h </w:instrText>
      </w:r>
      <w:r>
        <w:rPr/>
        <w:fldChar w:fldCharType="separate"/>
      </w:r>
      <w:r>
        <w:rPr/>
        <w:t>8.2</w:t>
      </w:r>
      <w:r>
        <w:rPr/>
        <w:fldChar w:fldCharType="end"/>
      </w:r>
      <w:r>
        <w:rPr/>
        <w:t>), delay, indulgence, omission or otherwise be deemed to have waived any right or remedy under any GATS Security Document or to have acquiesced in any default or in any breach of any of the terms and conditions of any GATS Security Document.</w:t>
      </w:r>
    </w:p>
    <w:p>
      <w:pPr>
        <w:pStyle w:val="AWGNumberedListAlt3"/>
        <w:numPr>
          <w:ilvl w:val="3"/>
          <w:numId w:val="3"/>
        </w:numPr>
        <w:tabs>
          <w:tab w:val="clear" w:pos="720"/>
          <w:tab w:val="left" w:pos="450" w:leader="none"/>
        </w:tabs>
        <w:rPr>
          <w:rFonts w:ascii="DejaVu Serif" w:hAnsi="DejaVu Serif"/>
        </w:rPr>
      </w:pPr>
      <w:r>
        <w:rPr/>
        <w:t xml:space="preserve">No failure to exercise, nor any delay in exercising, on the part of the Secured Party, any right, power or privilege under any GATS Security Document shall operate as a waiver of such right, power or privilege.  No single or partial exercise of any right, power or privilege under any GATS Security Document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pPr>
        <w:pStyle w:val="AWGNumberedListAlt3"/>
        <w:numPr>
          <w:ilvl w:val="3"/>
          <w:numId w:val="3"/>
        </w:numPr>
        <w:tabs>
          <w:tab w:val="clear" w:pos="720"/>
          <w:tab w:val="left" w:pos="465" w:leader="none"/>
        </w:tabs>
        <w:rPr>
          <w:rFonts w:ascii="DejaVu Serif" w:hAnsi="DejaVu Serif"/>
        </w:rPr>
      </w:pPr>
      <w:r>
        <w:rPr/>
        <w:t>The rights and remedies herein provided are cumulative, may be exercised singly or concurrently and are not exclusive of any rights or remedies provided by law.</w:t>
      </w:r>
    </w:p>
    <w:p>
      <w:pPr>
        <w:pStyle w:val="AWGNumberedList2"/>
        <w:numPr>
          <w:ilvl w:val="1"/>
          <w:numId w:val="3"/>
        </w:numPr>
        <w:rPr>
          <w:rFonts w:ascii="DejaVu Serif" w:hAnsi="DejaVu Serif"/>
        </w:rPr>
      </w:pPr>
      <w:bookmarkStart w:id="39" w:name="_Ref527128602"/>
      <w:r>
        <w:rPr/>
        <w:t>Notices</w:t>
      </w:r>
      <w:bookmarkEnd w:id="39"/>
    </w:p>
    <w:p>
      <w:pPr>
        <w:pStyle w:val="AWGNumberedListAlt3"/>
        <w:numPr>
          <w:ilvl w:val="3"/>
          <w:numId w:val="3"/>
        </w:numPr>
        <w:tabs>
          <w:tab w:val="clear" w:pos="720"/>
          <w:tab w:val="left" w:pos="465" w:leader="none"/>
        </w:tabs>
        <w:rPr>
          <w:rFonts w:ascii="DejaVu Serif" w:hAnsi="DejaVu Serif"/>
        </w:rPr>
      </w:pPr>
      <w:bookmarkStart w:id="40" w:name="_Ref25171498"/>
      <w:r>
        <w:rPr/>
        <w:t>Unless otherwise expressly provided in any GATS Security Document, all notices, demands and other communications under the GATS Security Documents by one party to the party shall be in writing, signed by or on behalf of the party providing the notice and delivered to each other party by any one or more of the following methods:</w:t>
      </w:r>
      <w:bookmarkEnd w:id="40"/>
    </w:p>
    <w:p>
      <w:pPr>
        <w:pStyle w:val="AWGNumberedListAlt4"/>
        <w:numPr>
          <w:ilvl w:val="4"/>
          <w:numId w:val="1"/>
        </w:numPr>
        <w:rPr>
          <w:rFonts w:ascii="DejaVu Serif" w:hAnsi="DejaVu Serif"/>
        </w:rPr>
      </w:pPr>
      <w:bookmarkStart w:id="41" w:name="_Ref25171443"/>
      <w:bookmarkStart w:id="42" w:name="_Ref25241513"/>
      <w:r>
        <w:rPr/>
        <w:t>by hand or by pre-paid courier to the postal address specified in the other party’s ‘entity profile’ on the GATS Platform at the time such notice, demand or other communication is sent;</w:t>
      </w:r>
      <w:bookmarkEnd w:id="42"/>
    </w:p>
    <w:p>
      <w:pPr>
        <w:pStyle w:val="AWGNumberedListAlt4"/>
        <w:numPr>
          <w:ilvl w:val="4"/>
          <w:numId w:val="1"/>
        </w:numPr>
        <w:rPr>
          <w:rFonts w:ascii="DejaVu Serif" w:hAnsi="DejaVu Serif"/>
        </w:rPr>
      </w:pPr>
      <w:bookmarkStart w:id="43" w:name="_Ref25241514"/>
      <w:bookmarkStart w:id="44" w:name="_Ref25145810"/>
      <w:r>
        <w:rPr/>
        <w:t>by email to the email address specified in the other party’s ‘entity profile’ on the GATS Platform at the time such notice, demand or other communication is transmitted;</w:t>
      </w:r>
      <w:bookmarkEnd w:id="44"/>
      <w:r>
        <w:rPr/>
        <w:t xml:space="preserve"> and</w:t>
      </w:r>
      <w:bookmarkEnd w:id="41"/>
      <w:bookmarkEnd w:id="43"/>
    </w:p>
    <w:p>
      <w:pPr>
        <w:pStyle w:val="AWGNumberedListAlt4"/>
        <w:numPr>
          <w:ilvl w:val="4"/>
          <w:numId w:val="1"/>
        </w:numPr>
        <w:rPr>
          <w:rFonts w:ascii="DejaVu Serif" w:hAnsi="DejaVu Serif"/>
        </w:rPr>
      </w:pPr>
      <w:bookmarkStart w:id="45" w:name="_Ref25171444"/>
      <w:r>
        <w:rPr/>
        <w:t>for so long as no Non-GATS Transfer has taken effect and if such facility is available on the GATS Platform, through the GATS Platform.</w:t>
      </w:r>
      <w:bookmarkEnd w:id="45"/>
    </w:p>
    <w:p>
      <w:pPr>
        <w:pStyle w:val="AWGBodyText1"/>
        <w:rPr>
          <w:rFonts w:ascii="DejaVu Serif" w:hAnsi="DejaVu Serif"/>
        </w:rPr>
      </w:pPr>
      <w:r>
        <w:rPr/>
        <w:t>it being acknowledged and understood that the relevant portion of each party’s ‘entity profile’ on the GATS Platform is at all times visible to each other party.</w:t>
      </w:r>
    </w:p>
    <w:p>
      <w:pPr>
        <w:pStyle w:val="AWGNumberedListAlt3"/>
        <w:numPr>
          <w:ilvl w:val="3"/>
          <w:numId w:val="3"/>
        </w:numPr>
        <w:tabs>
          <w:tab w:val="clear" w:pos="720"/>
          <w:tab w:val="left" w:pos="480" w:leader="none"/>
        </w:tabs>
        <w:rPr>
          <w:rFonts w:ascii="DejaVu Serif" w:hAnsi="DejaVu Serif"/>
        </w:rPr>
      </w:pPr>
      <w:r>
        <w:rPr/>
        <w:t>Each such notice, demand, or other communication shall be effective and deemed received:</w:t>
      </w:r>
    </w:p>
    <w:p>
      <w:pPr>
        <w:pStyle w:val="AWGNumberedListAlt4"/>
        <w:numPr>
          <w:ilvl w:val="4"/>
          <w:numId w:val="4"/>
        </w:numPr>
        <w:rPr>
          <w:rFonts w:ascii="DejaVu Serif" w:hAnsi="DejaVu Serif"/>
        </w:rPr>
      </w:pPr>
      <w:r>
        <w:rPr/>
        <w:t>if delivered through the GATS Platform, at the time at the effective time of such notice, demand or communication; or</w:t>
      </w:r>
    </w:p>
    <w:p>
      <w:pPr>
        <w:pStyle w:val="AWGNumberedListAlt4"/>
        <w:numPr>
          <w:ilvl w:val="4"/>
          <w:numId w:val="4"/>
        </w:numPr>
        <w:rPr>
          <w:rFonts w:ascii="DejaVu Serif" w:hAnsi="DejaVu Serif"/>
        </w:rPr>
      </w:pPr>
      <w:bookmarkStart w:id="46" w:name="_Ref25171575"/>
      <w:r>
        <w:rPr/>
        <w:t>if delivered by hand to a postal address, on signature of a delivery receipt, and if sent by pre-paid courier, on the fifth Business Day after the date on which it is recorded as being collected by the courier; and</w:t>
      </w:r>
      <w:bookmarkEnd w:id="46"/>
    </w:p>
    <w:p>
      <w:pPr>
        <w:pStyle w:val="AWGNumberedListAlt4"/>
        <w:numPr>
          <w:ilvl w:val="4"/>
          <w:numId w:val="4"/>
        </w:numPr>
        <w:rPr>
          <w:rFonts w:ascii="DejaVu Serif" w:hAnsi="DejaVu Serif"/>
        </w:rPr>
      </w:pPr>
      <w:r>
        <w:rPr/>
        <w:t>if delivered by email or through the GATS Platform, at the time of transmission.</w:t>
      </w:r>
    </w:p>
    <w:p>
      <w:pPr>
        <w:pStyle w:val="AWGNumberedList2"/>
        <w:numPr>
          <w:ilvl w:val="1"/>
          <w:numId w:val="3"/>
        </w:numPr>
        <w:rPr>
          <w:rFonts w:ascii="DejaVu Serif" w:hAnsi="DejaVu Serif"/>
        </w:rPr>
      </w:pPr>
      <w:r>
        <w:rPr/>
        <w:t>Severability</w:t>
      </w:r>
    </w:p>
    <w:p>
      <w:pPr>
        <w:pStyle w:val="AWGBodyText1"/>
        <w:rPr>
          <w:rFonts w:ascii="DejaVu Serif" w:hAnsi="DejaVu Serif"/>
        </w:rPr>
      </w:pPr>
      <w:r>
        <w:rPr/>
        <w:t>If any provision of any GATS Security Document shall be held invalid, illegal or unenforceable in any respect in any jurisdiction, the remaining provisions of such GATS Security Document shall continue to be fully effective.</w:t>
      </w:r>
    </w:p>
    <w:p>
      <w:pPr>
        <w:pStyle w:val="AWGNumberedList2"/>
        <w:numPr>
          <w:ilvl w:val="1"/>
          <w:numId w:val="3"/>
        </w:numPr>
        <w:rPr>
          <w:rFonts w:ascii="DejaVu Serif" w:hAnsi="DejaVu Serif"/>
        </w:rPr>
      </w:pPr>
      <w:r>
        <w:rPr/>
        <w:t>Headings; References</w:t>
      </w:r>
    </w:p>
    <w:p>
      <w:pPr>
        <w:pStyle w:val="AWGBodyText1"/>
        <w:rPr>
          <w:rFonts w:ascii="DejaVu Serif" w:hAnsi="DejaVu Serif"/>
        </w:rPr>
      </w:pPr>
      <w:r>
        <w:rPr/>
        <w:t>The headings and any table of contents used in these Master Terms any GATS Security Document are for convenience of reference only and shall not define or limit any of the terms or provisions of such GATS Security Document and shall not in any way affect the construction of, or be taken into consideration in interpreting, such GATS Security Document.</w:t>
      </w:r>
    </w:p>
    <w:p>
      <w:pPr>
        <w:pStyle w:val="AWGNumberedList2"/>
        <w:numPr>
          <w:ilvl w:val="1"/>
          <w:numId w:val="3"/>
        </w:numPr>
        <w:rPr>
          <w:rFonts w:ascii="DejaVu Serif" w:hAnsi="DejaVu Serif"/>
        </w:rPr>
      </w:pPr>
      <w:r>
        <w:rPr/>
        <w:t>GATS Forms</w:t>
      </w:r>
    </w:p>
    <w:p>
      <w:pPr>
        <w:pStyle w:val="AWGBodyText1"/>
        <w:rPr>
          <w:rFonts w:ascii="DejaVu Serif" w:hAnsi="DejaVu Serif"/>
        </w:rPr>
      </w:pPr>
      <w:r>
        <w:rPr/>
        <w:t>These Master Terms are in the form of version 1.0 of the GATS Form for these Master Terms.</w:t>
      </w:r>
    </w:p>
    <w:p>
      <w:pPr>
        <w:pStyle w:val="AWGNumberedList2"/>
        <w:numPr>
          <w:ilvl w:val="1"/>
          <w:numId w:val="3"/>
        </w:numPr>
        <w:rPr>
          <w:rFonts w:ascii="DejaVu Serif" w:hAnsi="DejaVu Serif"/>
        </w:rPr>
      </w:pPr>
      <w:r>
        <w:rPr/>
        <w:t>Third Party Beneficiaries</w:t>
      </w:r>
    </w:p>
    <w:p>
      <w:pPr>
        <w:pStyle w:val="AWGNumberedListAlt3"/>
        <w:ind w:left="454" w:right="0" w:hanging="0"/>
        <w:rPr>
          <w:rFonts w:ascii="DejaVu Serif" w:hAnsi="DejaVu Serif"/>
        </w:rPr>
      </w:pPr>
      <w:r>
        <w:rPr/>
        <w:t xml:space="preserve">Except as expressly provided or contemplated in any GATS Security Document, the Principal Finance Document or the Principal Security Agreement, nothing in any GATS Security Document, whether express or implied, shall be construed to give any person other than the parties to such GATS Security Document any legal or equitable right, remedy or claim under or in respect of such GATS Security Document or any rights under the Third Parties Act to enforce or enjoy the benefit of any term of such GATS Security Document, and each such GATS Security Document shall be held to be for the sole and exclusive benefit of the parties to it. </w:t>
      </w:r>
    </w:p>
    <w:p>
      <w:pPr>
        <w:pStyle w:val="AWGNumberedList1"/>
        <w:numPr>
          <w:ilvl w:val="0"/>
          <w:numId w:val="3"/>
        </w:numPr>
        <w:jc w:val="left"/>
        <w:rPr>
          <w:rFonts w:ascii="DejaVu Serif" w:hAnsi="DejaVu Serif"/>
        </w:rPr>
      </w:pPr>
      <w:bookmarkStart w:id="47" w:name="_Ref530730280"/>
      <w:r>
        <w:rPr/>
        <w:t>Governing Law and Jurisdiction</w:t>
      </w:r>
      <w:bookmarkEnd w:id="47"/>
    </w:p>
    <w:p>
      <w:pPr>
        <w:pStyle w:val="AWGNumberedList2"/>
        <w:numPr>
          <w:ilvl w:val="1"/>
          <w:numId w:val="3"/>
        </w:numPr>
        <w:rPr>
          <w:rFonts w:ascii="DejaVu Serif" w:hAnsi="DejaVu Serif"/>
        </w:rPr>
      </w:pPr>
      <w:r>
        <w:rPr>
          <w:lang w:val="en-US"/>
        </w:rPr>
        <w:t>Governing Law</w:t>
      </w:r>
    </w:p>
    <w:p>
      <w:pPr>
        <w:pStyle w:val="AWGBodyText1"/>
        <w:rPr>
          <w:rFonts w:ascii="DejaVu Serif" w:hAnsi="DejaVu Serif"/>
        </w:rPr>
      </w:pPr>
      <w:r>
        <w:rPr>
          <w:szCs w:val="18"/>
        </w:rPr>
        <w:t>These Master Terms and all non-contractual obligations arising out of or in connection with it will in all respects be governed by and construed in accordance with the laws of Singapore</w:t>
      </w:r>
      <w:r>
        <w:rPr>
          <w:lang w:val="en-US"/>
        </w:rPr>
        <w:t>.</w:t>
      </w:r>
    </w:p>
    <w:p>
      <w:pPr>
        <w:pStyle w:val="AWGNumberedList2"/>
        <w:numPr>
          <w:ilvl w:val="1"/>
          <w:numId w:val="3"/>
        </w:numPr>
        <w:rPr>
          <w:rFonts w:ascii="DejaVu Serif" w:hAnsi="DejaVu Serif"/>
        </w:rPr>
      </w:pPr>
      <w:bookmarkStart w:id="48" w:name="_Ref527128579"/>
      <w:r>
        <w:rPr>
          <w:lang w:val="en-US"/>
        </w:rPr>
        <w:t>Jurisdiction</w:t>
      </w:r>
      <w:bookmarkEnd w:id="48"/>
    </w:p>
    <w:p>
      <w:pPr>
        <w:pStyle w:val="AWGNumberedListAlt3"/>
        <w:numPr>
          <w:ilvl w:val="3"/>
          <w:numId w:val="3"/>
        </w:numPr>
        <w:tabs>
          <w:tab w:val="clear" w:pos="720"/>
          <w:tab w:val="left" w:pos="450" w:leader="none"/>
        </w:tabs>
        <w:rPr/>
      </w:pPr>
      <w:r>
        <w:rPr>
          <w:lang w:val="en-US"/>
        </w:rPr>
        <w:t xml:space="preserve">The remaining provisions of this Section </w:t>
      </w:r>
      <w:r>
        <w:rPr/>
        <w:fldChar w:fldCharType="begin"/>
      </w:r>
      <w:r>
        <w:rPr/>
        <w:instrText> REF _Ref527128579 \r \h </w:instrText>
      </w:r>
      <w:r>
        <w:rPr/>
        <w:fldChar w:fldCharType="separate"/>
      </w:r>
      <w:r>
        <w:rPr/>
        <w:t>12.2</w:t>
      </w:r>
      <w:r>
        <w:rPr/>
        <w:fldChar w:fldCharType="end"/>
      </w:r>
      <w:r>
        <w:rPr>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3"/>
        </w:numPr>
        <w:tabs>
          <w:tab w:val="clear" w:pos="720"/>
          <w:tab w:val="left" w:pos="480" w:leader="none"/>
        </w:tabs>
        <w:rPr>
          <w:rFonts w:ascii="DejaVu Serif" w:hAnsi="DejaVu Serif"/>
        </w:rPr>
      </w:pPr>
      <w:r>
        <w:rPr/>
        <w:t>Each of the parties to each GATS Security Document:</w:t>
      </w:r>
    </w:p>
    <w:p>
      <w:pPr>
        <w:pStyle w:val="AWGNumberedListAlt4"/>
        <w:numPr>
          <w:ilvl w:val="4"/>
          <w:numId w:val="3"/>
        </w:numPr>
        <w:rPr>
          <w:rFonts w:ascii="DejaVu Serif" w:hAnsi="DejaVu Serif"/>
        </w:rPr>
      </w:pPr>
      <w:r>
        <w:rPr/>
        <w:t>agrees that the Relevant Courts, shall have jurisdiction to hear and determine any suit, action or proceeding, and to settle any Disputes and, for such purposes, submits to the jurisdiction of such courts; and</w:t>
      </w:r>
    </w:p>
    <w:p>
      <w:pPr>
        <w:pStyle w:val="AWGNumberedListAlt4"/>
        <w:numPr>
          <w:ilvl w:val="4"/>
          <w:numId w:val="3"/>
        </w:numPr>
        <w:rPr>
          <w:rFonts w:ascii="DejaVu Serif" w:hAnsi="DejaVu Serif"/>
        </w:rPr>
      </w:pPr>
      <w:r>
        <w:rPr>
          <w:lang w:val="en-US"/>
        </w:rPr>
        <w:t xml:space="preserve">waives any objection which it might now or hereafter have to </w:t>
      </w:r>
      <w:r>
        <w:rPr/>
        <w:t>the Relevant Courts being</w:t>
      </w:r>
      <w:r>
        <w:rPr>
          <w:lang w:val="en-US"/>
        </w:rPr>
        <w:t xml:space="preserve"> nominated as the forum to hear and determine any suit, action or proceeding, and to settle any Disputes and agrees not to claim that any such court is not a convenient or appropriate forum.   </w:t>
      </w:r>
    </w:p>
    <w:p>
      <w:pPr>
        <w:pStyle w:val="AWGNumberedListAlt3"/>
        <w:numPr>
          <w:ilvl w:val="3"/>
          <w:numId w:val="3"/>
        </w:numPr>
        <w:tabs>
          <w:tab w:val="clear" w:pos="720"/>
          <w:tab w:val="left" w:pos="465" w:leader="none"/>
        </w:tabs>
        <w:rPr>
          <w:rFonts w:ascii="DejaVu Serif" w:hAnsi="DejaVu Serif"/>
        </w:rPr>
      </w:pPr>
      <w:r>
        <w:rPr/>
        <w:t xml:space="preserve">Each of the parties to each GATS Security Document agrees that the process by which any suit, action or proceeding is begun may be served on it by being delivered in connection with any suit, action or proceeding in the Relevant Courts, </w:t>
      </w:r>
      <w:r>
        <w:rPr>
          <w:lang w:val="en-US"/>
        </w:rPr>
        <w:t>consents to receive any such service of process</w:t>
      </w:r>
      <w:r>
        <w:rPr/>
        <w:t>:</w:t>
      </w:r>
    </w:p>
    <w:p>
      <w:pPr>
        <w:pStyle w:val="AWGNumberedListAlt4"/>
        <w:numPr>
          <w:ilvl w:val="4"/>
          <w:numId w:val="3"/>
        </w:numPr>
        <w:rPr/>
      </w:pPr>
      <w:r>
        <w:rPr>
          <w:lang w:val="en-US"/>
        </w:rPr>
        <w:t xml:space="preserve">directly at the address determined for such party pursuant to Section </w:t>
      </w:r>
      <w:r>
        <w:rPr/>
        <w:fldChar w:fldCharType="begin"/>
      </w:r>
      <w:r>
        <w:rPr/>
        <w:instrText> REF _Ref527128602 \r \h </w:instrText>
      </w:r>
      <w:r>
        <w:rPr/>
        <w:fldChar w:fldCharType="separate"/>
      </w:r>
      <w:r>
        <w:rPr/>
        <w:t>11.5</w:t>
      </w:r>
      <w:r>
        <w:rPr/>
        <w:fldChar w:fldCharType="end"/>
      </w:r>
      <w:r>
        <w:rPr>
          <w:lang w:val="en-US"/>
        </w:rPr>
        <w:t>;</w:t>
      </w:r>
    </w:p>
    <w:p>
      <w:pPr>
        <w:pStyle w:val="AWGNumberedListAlt4"/>
        <w:numPr>
          <w:ilvl w:val="4"/>
          <w:numId w:val="3"/>
        </w:numPr>
        <w:rPr>
          <w:rFonts w:ascii="DejaVu Serif" w:hAnsi="DejaVu Serif"/>
        </w:rPr>
      </w:pPr>
      <w:r>
        <w:rPr>
          <w:lang w:val="en-US"/>
        </w:rPr>
        <w:t xml:space="preserve">to the extent such service is effective on such party under applicable law, through the electronic notification service provided by the GATS </w:t>
      </w:r>
      <w:r>
        <w:rPr/>
        <w:t>Platform</w:t>
      </w:r>
      <w:r>
        <w:rPr>
          <w:lang w:val="en-US"/>
        </w:rPr>
        <w:t>; and/or</w:t>
      </w:r>
    </w:p>
    <w:p>
      <w:pPr>
        <w:pStyle w:val="AWGNumberedListAlt4"/>
        <w:numPr>
          <w:ilvl w:val="4"/>
          <w:numId w:val="3"/>
        </w:numPr>
        <w:rPr/>
      </w:pPr>
      <w:r>
        <w:rPr>
          <w:lang w:val="en-US"/>
        </w:rPr>
        <w:t>to process agent, if any, identified in the Primary Finance Document or the Primary Security Agreement, as its designee, appointee and agent to receive, accept and acknowledge for and on its behalf such service of legal process.</w:t>
      </w:r>
    </w:p>
    <w:p>
      <w:pPr>
        <w:pStyle w:val="AWGBodyText2"/>
        <w:widowControl w:val="false"/>
        <w:numPr>
          <w:ilvl w:val="3"/>
          <w:numId w:val="3"/>
        </w:numPr>
        <w:tabs>
          <w:tab w:val="clear" w:pos="720"/>
          <w:tab w:val="left" w:pos="480" w:leader="none"/>
        </w:tabs>
        <w:overflowPunct w:val="false"/>
        <w:bidi w:val="0"/>
        <w:spacing w:lineRule="auto" w:line="240" w:before="0" w:after="120"/>
        <w:ind w:left="449" w:right="0" w:hanging="449"/>
        <w:jc w:val="both"/>
        <w:rPr/>
      </w:pPr>
      <w:r>
        <w:rPr>
          <w:lang w:val="en-US"/>
        </w:rPr>
        <w:t>Nothing in any GATS Security Document will affect the right of any party to such GATS Security Document to serve process in any other manner permitted by law.</w:t>
      </w:r>
    </w:p>
    <w:p>
      <w:pPr>
        <w:pStyle w:val="AWGNumberedList2"/>
        <w:numPr>
          <w:ilvl w:val="1"/>
          <w:numId w:val="3"/>
        </w:numPr>
        <w:rPr>
          <w:rFonts w:ascii="DejaVu Serif" w:hAnsi="DejaVu Serif"/>
        </w:rPr>
      </w:pPr>
      <w:bookmarkStart w:id="49" w:name="_Ref534710600"/>
      <w:r>
        <w:rPr/>
        <w:t>Waiver of Immunities</w:t>
      </w:r>
      <w:bookmarkEnd w:id="49"/>
      <w:r>
        <w:rPr/>
        <w:t xml:space="preserve"> </w:t>
      </w:r>
    </w:p>
    <w:p>
      <w:pPr>
        <w:pStyle w:val="AWGNumberedListAlt3"/>
        <w:numPr>
          <w:ilvl w:val="3"/>
          <w:numId w:val="3"/>
        </w:numPr>
        <w:tabs>
          <w:tab w:val="clear" w:pos="720"/>
          <w:tab w:val="left" w:pos="450" w:leader="none"/>
        </w:tabs>
        <w:rPr/>
      </w:pPr>
      <w:r>
        <w:rPr>
          <w:lang w:val="en-US"/>
        </w:rPr>
        <w:t xml:space="preserve">The remaining provisions of this Section </w:t>
      </w:r>
      <w:r>
        <w:rPr/>
        <w:fldChar w:fldCharType="begin"/>
      </w:r>
      <w:r>
        <w:rPr/>
        <w:instrText> REF _Ref534710600 \r \h </w:instrText>
      </w:r>
      <w:r>
        <w:rPr/>
        <w:fldChar w:fldCharType="separate"/>
      </w:r>
      <w:r>
        <w:rPr/>
        <w:t>12.3</w:t>
      </w:r>
      <w:r>
        <w:rPr/>
        <w:fldChar w:fldCharType="end"/>
      </w:r>
      <w:r>
        <w:rPr>
          <w:lang w:val="en-US"/>
        </w:rPr>
        <w:t xml:space="preserve"> shall not apply to the extent expressly disapplied or replaced in its entirety by any provision in the Principal Finance Document or the Principal Security Agreement.</w:t>
      </w:r>
    </w:p>
    <w:p>
      <w:pPr>
        <w:pStyle w:val="AWGNumberedListAlt3"/>
        <w:numPr>
          <w:ilvl w:val="3"/>
          <w:numId w:val="3"/>
        </w:numPr>
        <w:tabs>
          <w:tab w:val="clear" w:pos="720"/>
          <w:tab w:val="left" w:pos="480" w:leader="none"/>
        </w:tabs>
        <w:rPr>
          <w:rFonts w:ascii="DejaVu Serif" w:hAnsi="DejaVu Serif"/>
        </w:rPr>
      </w:pPr>
      <w:r>
        <w:rPr/>
        <w:t xml:space="preserve">Each of the parties to each GATS Security Document </w:t>
      </w:r>
      <w:r>
        <w:rPr>
          <w:lang w:val="en-US"/>
        </w:rPr>
        <w:t xml:space="preserve">irrevocably waives and agrees not to plead or claim, to the fullest extent permitted by law, with respect to itself, its revenues, its assets (irrespective of their use or intended use) and its obligations under any GATS Security Document, all immunity on the grounds of sovereignty or otherwise from: </w:t>
      </w:r>
    </w:p>
    <w:p>
      <w:pPr>
        <w:pStyle w:val="AWGNumberedListAlt4"/>
        <w:numPr>
          <w:ilvl w:val="5"/>
          <w:numId w:val="3"/>
        </w:numPr>
        <w:tabs>
          <w:tab w:val="clear" w:pos="720"/>
          <w:tab w:val="left" w:pos="885" w:leader="none"/>
        </w:tabs>
        <w:rPr>
          <w:rFonts w:ascii="DejaVu Serif" w:hAnsi="DejaVu Serif"/>
        </w:rPr>
      </w:pPr>
      <w:r>
        <w:rPr/>
        <w:t xml:space="preserve">suit, legal action or proceeding; </w:t>
      </w:r>
    </w:p>
    <w:p>
      <w:pPr>
        <w:pStyle w:val="AWGNumberedListAlt4"/>
        <w:numPr>
          <w:ilvl w:val="5"/>
          <w:numId w:val="3"/>
        </w:numPr>
        <w:tabs>
          <w:tab w:val="clear" w:pos="720"/>
          <w:tab w:val="left" w:pos="885" w:leader="none"/>
        </w:tabs>
        <w:rPr>
          <w:rFonts w:ascii="DejaVu Serif" w:hAnsi="DejaVu Serif"/>
        </w:rPr>
      </w:pPr>
      <w:r>
        <w:rPr/>
        <w:t>jurisdiction of any court;</w:t>
      </w:r>
    </w:p>
    <w:p>
      <w:pPr>
        <w:pStyle w:val="AWGNumberedListAlt4"/>
        <w:numPr>
          <w:ilvl w:val="5"/>
          <w:numId w:val="3"/>
        </w:numPr>
        <w:tabs>
          <w:tab w:val="clear" w:pos="720"/>
          <w:tab w:val="left" w:pos="885" w:leader="none"/>
        </w:tabs>
        <w:rPr>
          <w:rFonts w:ascii="DejaVu Serif" w:hAnsi="DejaVu Serif"/>
        </w:rPr>
      </w:pPr>
      <w:r>
        <w:rPr/>
        <w:t xml:space="preserve">relief by way of injunction or order for specific performance or recovery of property; </w:t>
      </w:r>
    </w:p>
    <w:p>
      <w:pPr>
        <w:pStyle w:val="AWGNumberedListAlt4"/>
        <w:numPr>
          <w:ilvl w:val="5"/>
          <w:numId w:val="3"/>
        </w:numPr>
        <w:tabs>
          <w:tab w:val="clear" w:pos="720"/>
          <w:tab w:val="left" w:pos="885" w:leader="none"/>
        </w:tabs>
        <w:rPr>
          <w:rFonts w:ascii="DejaVu Serif" w:hAnsi="DejaVu Serif"/>
        </w:rPr>
      </w:pPr>
      <w:r>
        <w:rPr/>
        <w:t>attachment of its assets (whether before or after judgment);</w:t>
      </w:r>
    </w:p>
    <w:p>
      <w:pPr>
        <w:pStyle w:val="AWGNumberedListAlt4"/>
        <w:numPr>
          <w:ilvl w:val="5"/>
          <w:numId w:val="3"/>
        </w:numPr>
        <w:tabs>
          <w:tab w:val="clear" w:pos="720"/>
          <w:tab w:val="left" w:pos="885" w:leader="none"/>
        </w:tabs>
        <w:rPr>
          <w:rFonts w:ascii="DejaVu Serif" w:hAnsi="DejaVu Serif"/>
        </w:rPr>
      </w:pPr>
      <w:r>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pPr>
        <w:pStyle w:val="AWGNumberedListAlt4"/>
        <w:numPr>
          <w:ilvl w:val="5"/>
          <w:numId w:val="3"/>
        </w:numPr>
        <w:tabs>
          <w:tab w:val="clear" w:pos="720"/>
          <w:tab w:val="left" w:pos="885" w:leader="none"/>
        </w:tabs>
        <w:spacing w:before="0" w:after="120"/>
        <w:rPr/>
      </w:pPr>
      <w:r>
        <w:rPr/>
        <w:t>service of process, notice or any other legal process.</w:t>
      </w:r>
    </w:p>
    <w:sectPr>
      <w:headerReference w:type="even" r:id="rId5"/>
      <w:headerReference w:type="default" r:id="rId6"/>
      <w:footerReference w:type="even" r:id="rId7"/>
      <w:footerReference w:type="default" r:id="rId8"/>
      <w:type w:val="nextPage"/>
      <w:pgSz w:w="11906" w:h="16838"/>
      <w:pgMar w:left="1440" w:right="1440" w:header="720" w:top="778" w:footer="432" w:bottom="778" w:gutter="0"/>
      <w:pgNumType w:fmt="decimal"/>
      <w:cols w:num="2" w:space="288" w:equalWidth="true" w:sep="false"/>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ookman Old Styl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9029" w:type="dxa"/>
      <w:jc w:val="left"/>
      <w:tblInd w:w="0" w:type="dxa"/>
      <w:tblCellMar>
        <w:top w:w="0" w:type="dxa"/>
        <w:left w:w="0" w:type="dxa"/>
        <w:bottom w:w="0" w:type="dxa"/>
        <w:right w:w="0" w:type="dxa"/>
      </w:tblCellMar>
    </w:tblPr>
    <w:tblGrid>
      <w:gridCol w:w="2500"/>
      <w:gridCol w:w="4520"/>
      <w:gridCol w:w="139"/>
      <w:gridCol w:w="1869"/>
    </w:tblGrid>
    <w:tr>
      <w:trPr>
        <w:trHeight w:val="1296"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6"/>
              <w:szCs w:val="16"/>
            </w:rPr>
          </w:pPr>
          <w:r>
            <w:rPr>
              <w:sz w:val="16"/>
              <w:szCs w:val="16"/>
            </w:rPr>
          </w:r>
        </w:p>
        <w:p>
          <w:pPr>
            <w:pStyle w:val="Footer"/>
            <w:spacing w:lineRule="auto" w:line="240" w:before="0" w:after="0"/>
            <w:jc w:val="both"/>
            <w:rPr/>
          </w:pPr>
          <w:r>
            <w:rPr>
              <w:sz w:val="16"/>
              <w:szCs w:val="16"/>
            </w:rPr>
            <w:t xml:space="preserve">To authenticate this instrument as a complete and correct </w:t>
          </w:r>
          <w:r>
            <w:rPr>
              <w:color w:val="auto"/>
              <w:kern w:val="0"/>
              <w:sz w:val="16"/>
              <w:szCs w:val="16"/>
              <w:lang w:val="en-US" w:eastAsia="ja-JP" w:bidi="ar-SA"/>
            </w:rPr>
            <w:t>duplicate original</w:t>
          </w:r>
          <w:r>
            <w:rPr>
              <w:sz w:val="16"/>
              <w:szCs w:val="16"/>
            </w:rPr>
            <w:t xml:space="preserve"> of the instrument executed and delivered through the GATS Platform, scan the QR code to the right or navigate to </w:t>
          </w:r>
          <w:hyperlink r:id="rId1">
            <w:r>
              <w:rPr>
                <w:rStyle w:val="InternetLink"/>
                <w:sz w:val="16"/>
                <w:szCs w:val="16"/>
              </w:rPr>
              <w:t>http://e-gats.aero/authenticate</w:t>
            </w:r>
          </w:hyperlink>
          <w:r>
            <w:rPr>
              <w:sz w:val="16"/>
              <w:szCs w:val="16"/>
            </w:rPr>
            <w:t xml:space="preserve"> and follow the prompt.</w:t>
          </w:r>
        </w:p>
        <w:p>
          <w:pPr>
            <w:pStyle w:val="Footer"/>
            <w:spacing w:lineRule="auto" w:line="240" w:before="0" w:after="0"/>
            <w:jc w:val="both"/>
            <w:rPr>
              <w:sz w:val="16"/>
              <w:szCs w:val="16"/>
            </w:rPr>
          </w:pPr>
          <w:r>
            <w:rPr>
              <w:sz w:val="16"/>
              <w:szCs w:val="16"/>
            </w:rPr>
          </w:r>
        </w:p>
        <w:p>
          <w:pPr>
            <w:pStyle w:val="Footer"/>
            <w:spacing w:lineRule="auto" w:line="240" w:before="0" w:after="0"/>
            <w:rPr>
              <w:sz w:val="16"/>
              <w:szCs w:val="16"/>
            </w:rPr>
          </w:pPr>
          <w:r>
            <w:rPr>
              <w:sz w:val="16"/>
              <w:szCs w:val="16"/>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color w:val="FFFFFF"/>
              <w:sz w:val="18"/>
              <w:szCs w:val="18"/>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520" w:type="dxa"/>
          <w:tcBorders/>
          <w:shd w:fill="auto" w:val="clear"/>
        </w:tcPr>
        <w:p>
          <w:pPr>
            <w:pStyle w:val="Footer"/>
            <w:spacing w:lineRule="auto" w:line="240" w:before="0" w:after="0"/>
            <w:rPr>
              <w:sz w:val="18"/>
              <w:szCs w:val="18"/>
            </w:rPr>
          </w:pPr>
          <w:r>
            <w:rPr>
              <w:sz w:val="18"/>
              <w:szCs w:val="18"/>
            </w:rPr>
            <w:t>1.0</w:t>
          </w:r>
        </w:p>
      </w:tc>
      <w:tc>
        <w:tcPr>
          <w:tcW w:w="139" w:type="dxa"/>
          <w:vMerge w:val="continue"/>
          <w:tcBorders>
            <w:top w:val="single" w:sz="2" w:space="0" w:color="000000"/>
          </w:tcBorders>
          <w:shd w:fill="auto" w:val="clear"/>
        </w:tcPr>
        <w:p>
          <w:pPr>
            <w:pStyle w:val="Normal"/>
            <w:widowControl w:val="false"/>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val="false"/>
            <w:overflowPunct w:val="false"/>
            <w:bidi w:val="0"/>
            <w:spacing w:lineRule="auto" w:line="259" w:before="0" w:after="120"/>
            <w:jc w:val="left"/>
            <w:rPr/>
          </w:pPr>
          <w:r>
            <w:rPr/>
          </w:r>
        </w:p>
      </w:tc>
    </w:tr>
    <w:tr>
      <w:trPr>
        <w:trHeight w:val="230" w:hRule="exact"/>
      </w:trPr>
      <w:tc>
        <w:tcPr>
          <w:tcW w:w="2500" w:type="dxa"/>
          <w:tcBorders/>
          <w:shd w:fill="auto" w:val="clear"/>
        </w:tcPr>
        <w:p>
          <w:pPr>
            <w:pStyle w:val="Footer"/>
            <w:spacing w:lineRule="auto" w:line="240" w:before="0" w:after="0"/>
            <w:rPr/>
          </w:pPr>
          <w:bookmarkStart w:id="1" w:name="__DdeLink__945_371514061051"/>
          <w:r>
            <w:rPr>
              <w:sz w:val="18"/>
              <w:szCs w:val="18"/>
            </w:rPr>
            <w:t xml:space="preserve">GATS </w:t>
          </w:r>
          <w:r>
            <w:rPr>
              <w:rFonts w:eastAsia="Calibri" w:cs="DejaVu Sans"/>
              <w:color w:val="auto"/>
              <w:kern w:val="0"/>
              <w:sz w:val="18"/>
              <w:szCs w:val="18"/>
              <w:lang w:val="en-US" w:eastAsia="ja-JP" w:bidi="ar-SA"/>
            </w:rPr>
            <w:t>Trust</w:t>
          </w:r>
          <w:r>
            <w:rPr>
              <w:sz w:val="18"/>
              <w:szCs w:val="18"/>
            </w:rPr>
            <w:t xml:space="preserve"> UIN:</w:t>
          </w:r>
          <w:bookmarkEnd w:id="1"/>
          <w:r>
            <w:rPr>
              <w:sz w:val="18"/>
              <w:szCs w:val="18"/>
            </w:rPr>
            <w:t xml:space="preserve"> </w:t>
          </w:r>
        </w:p>
      </w:tc>
      <w:tc>
        <w:tcPr>
          <w:tcW w:w="4520" w:type="dxa"/>
          <w:tcBorders/>
          <w:shd w:fill="auto" w:val="clear"/>
        </w:tcPr>
        <w:p>
          <w:pPr>
            <w:pStyle w:val="Footer"/>
            <w:spacing w:lineRule="auto" w:line="240" w:before="0" w:after="0"/>
            <w:rPr>
              <w:sz w:val="18"/>
              <w:szCs w:val="18"/>
            </w:rPr>
          </w:pPr>
          <w:r>
            <w:rPr>
              <w:sz w:val="18"/>
              <w:szCs w:val="18"/>
            </w:rPr>
            <w:t>${trust.uin}</w:t>
          </w:r>
        </w:p>
      </w:tc>
      <w:tc>
        <w:tcPr>
          <w:tcW w:w="139" w:type="dxa"/>
          <w:vMerge w:val="continue"/>
          <w:tcBorders>
            <w:top w:val="single" w:sz="2" w:space="0" w:color="000000"/>
          </w:tcBorders>
          <w:shd w:fill="auto" w:val="clear"/>
        </w:tcPr>
        <w:p>
          <w:pPr>
            <w:pStyle w:val="Normal"/>
            <w:widowControl w:val="false"/>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val="false"/>
            <w:overflowPunct w:val="false"/>
            <w:bidi w:val="0"/>
            <w:spacing w:lineRule="auto" w:line="259" w:before="0" w:after="120"/>
            <w:jc w:val="left"/>
            <w:rPr/>
          </w:pPr>
          <w:r>
            <w:rPr/>
          </w:r>
        </w:p>
      </w:tc>
    </w:tr>
    <w:tr>
      <w:trPr>
        <w:trHeight w:val="230" w:hRule="exact"/>
      </w:trPr>
      <w:tc>
        <w:tcPr>
          <w:tcW w:w="2500" w:type="dxa"/>
          <w:tcBorders/>
          <w:shd w:fill="auto" w:val="clear"/>
        </w:tcPr>
        <w:p>
          <w:pPr>
            <w:pStyle w:val="Footer"/>
            <w:spacing w:lineRule="auto" w:line="240" w:before="0" w:after="0"/>
            <w:rPr>
              <w:sz w:val="18"/>
              <w:szCs w:val="18"/>
            </w:rPr>
          </w:pPr>
          <w:r>
            <w:rPr>
              <w:sz w:val="18"/>
              <w:szCs w:val="18"/>
            </w:rPr>
            <w:t>GATS Transaction ID:</w:t>
          </w:r>
        </w:p>
      </w:tc>
      <w:tc>
        <w:tcPr>
          <w:tcW w:w="4520" w:type="dxa"/>
          <w:tcBorders/>
          <w:shd w:fill="auto" w:val="clear"/>
        </w:tcPr>
        <w:p>
          <w:pPr>
            <w:pStyle w:val="Footer"/>
            <w:spacing w:lineRule="auto" w:line="240" w:before="0" w:after="0"/>
            <w:rPr>
              <w:sz w:val="18"/>
              <w:szCs w:val="18"/>
            </w:rPr>
          </w:pPr>
          <w:r>
            <w:rPr>
              <w:sz w:val="18"/>
              <w:szCs w:val="18"/>
            </w:rPr>
            <w:t>${trust.transactionID}</w:t>
          </w:r>
        </w:p>
      </w:tc>
      <w:tc>
        <w:tcPr>
          <w:tcW w:w="139" w:type="dxa"/>
          <w:vMerge w:val="continue"/>
          <w:tcBorders>
            <w:top w:val="single" w:sz="2" w:space="0" w:color="000000"/>
          </w:tcBorders>
          <w:shd w:fill="auto" w:val="clear"/>
        </w:tcPr>
        <w:p>
          <w:pPr>
            <w:pStyle w:val="Normal"/>
            <w:widowControl w:val="false"/>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val="false"/>
            <w:overflowPunct w:val="false"/>
            <w:bidi w:val="0"/>
            <w:spacing w:lineRule="auto" w:line="259" w:before="0" w:after="120"/>
            <w:jc w:val="left"/>
            <w:rPr/>
          </w:pPr>
          <w:r>
            <w:rPr/>
          </w:r>
        </w:p>
      </w:tc>
    </w:tr>
  </w:tbl>
  <w:p>
    <w:pPr>
      <w:pStyle w:val="Normal"/>
      <w:widowControl w:val="false"/>
      <w:overflowPunct w:val="false"/>
      <w:bidi w:val="0"/>
      <w:spacing w:lineRule="auto" w:line="259" w:before="0" w:after="12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DejaVu Serif" w:hAnsi="DejaVu Serif"/>
        <w:color w:val="000000"/>
        <w:sz w:val="18"/>
        <w:szCs w:val="18"/>
      </w:rPr>
    </w:pPr>
    <w:r>
      <w:rPr>
        <w:color w:val="000000"/>
        <w:sz w:val="18"/>
        <w:szCs w:val="18"/>
      </w:rPr>
    </w:r>
  </w:p>
  <w:tbl>
    <w:tblPr>
      <w:tblW w:w="9000" w:type="dxa"/>
      <w:jc w:val="left"/>
      <w:tblInd w:w="0" w:type="dxa"/>
      <w:tblCellMar>
        <w:top w:w="0" w:type="dxa"/>
        <w:left w:w="0" w:type="dxa"/>
        <w:bottom w:w="0" w:type="dxa"/>
        <w:right w:w="0" w:type="dxa"/>
      </w:tblCellMar>
    </w:tblPr>
    <w:tblGrid>
      <w:gridCol w:w="2627"/>
      <w:gridCol w:w="6372"/>
    </w:tblGrid>
    <w:tr>
      <w:trPr/>
      <w:tc>
        <w:tcPr>
          <w:tcW w:w="899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18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627" w:type="dxa"/>
          <w:tcBorders/>
          <w:shd w:fill="auto" w:val="clear"/>
        </w:tcPr>
        <w:p>
          <w:pPr>
            <w:pStyle w:val="Footer"/>
            <w:rPr>
              <w:rFonts w:ascii="DejaVu Serif" w:hAnsi="DejaVu Serif"/>
            </w:rPr>
          </w:pPr>
          <w:r>
            <w:rPr>
              <w:color w:val="000000"/>
              <w:sz w:val="18"/>
              <w:szCs w:val="18"/>
            </w:rPr>
            <w:t xml:space="preserve">GATS Form Version: </w:t>
          </w:r>
        </w:p>
      </w:tc>
      <w:tc>
        <w:tcPr>
          <w:tcW w:w="6372" w:type="dxa"/>
          <w:tcBorders/>
          <w:shd w:fill="auto" w:val="clear"/>
        </w:tcPr>
        <w:p>
          <w:pPr>
            <w:pStyle w:val="Footer"/>
            <w:rPr>
              <w:rFonts w:ascii="DejaVu Serif" w:hAnsi="DejaVu Serif"/>
            </w:rPr>
          </w:pPr>
          <w:r>
            <w:rPr>
              <w:rFonts w:cs="Courier New"/>
              <w:color w:val="000000"/>
              <w:sz w:val="18"/>
              <w:szCs w:val="18"/>
            </w:rPr>
            <w:t>1.0</w:t>
          </w:r>
        </w:p>
      </w:tc>
    </w:tr>
    <w:tr>
      <w:trPr/>
      <w:tc>
        <w:tcPr>
          <w:tcW w:w="2627" w:type="dxa"/>
          <w:tcBorders/>
          <w:shd w:fill="auto" w:val="clear"/>
        </w:tcPr>
        <w:p>
          <w:pPr>
            <w:pStyle w:val="Footer"/>
            <w:rPr>
              <w:rFonts w:ascii="DejaVu Serif" w:hAnsi="DejaVu Serif"/>
            </w:rPr>
          </w:pPr>
          <w:r>
            <w:rPr>
              <w:color w:val="000000"/>
              <w:sz w:val="18"/>
              <w:szCs w:val="18"/>
            </w:rPr>
            <w:t>GATS Transaction ID:</w:t>
          </w:r>
        </w:p>
      </w:tc>
      <w:tc>
        <w:tcPr>
          <w:tcW w:w="6372" w:type="dxa"/>
          <w:tcBorders/>
          <w:shd w:fill="auto" w:val="clear"/>
        </w:tcPr>
        <w:p>
          <w:pPr>
            <w:pStyle w:val="Footer"/>
            <w:tabs>
              <w:tab w:val="clear" w:pos="720"/>
              <w:tab w:val="center" w:pos="2046" w:leader="none"/>
            </w:tabs>
            <w:rPr>
              <w:rFonts w:ascii="DejaVu Serif" w:hAnsi="DejaVu Serif"/>
            </w:rPr>
          </w:pPr>
          <w:r>
            <w:rPr>
              <w:rFonts w:cs="Courier New"/>
              <w:color w:val="000000"/>
              <w:sz w:val="18"/>
              <w:szCs w:val="18"/>
            </w:rPr>
            <w:t>${trust.transactionID}</w:t>
          </w:r>
        </w:p>
      </w:tc>
    </w:tr>
  </w:tbl>
  <w:p>
    <w:pPr>
      <w:pStyle w:val="Footer"/>
      <w:spacing w:before="0" w:after="120"/>
      <w:jc w:val="center"/>
      <w:rPr>
        <w:rFonts w:ascii="DejaVu Serif" w:hAnsi="DejaVu Serif"/>
        <w:color w:val="000000"/>
        <w:sz w:val="18"/>
        <w:szCs w:val="18"/>
      </w:rPr>
    </w:pPr>
    <w:r>
      <w:rPr>
        <w:color w:val="000000"/>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DejaVu Serif" w:hAnsi="DejaVu Serif"/>
        <w:color w:val="000000"/>
        <w:sz w:val="18"/>
        <w:szCs w:val="18"/>
      </w:rPr>
    </w:pPr>
    <w:r>
      <w:rPr>
        <w:color w:val="000000"/>
        <w:sz w:val="18"/>
        <w:szCs w:val="18"/>
      </w:rPr>
    </w:r>
  </w:p>
  <w:tbl>
    <w:tblPr>
      <w:tblW w:w="9000" w:type="dxa"/>
      <w:jc w:val="left"/>
      <w:tblInd w:w="0" w:type="dxa"/>
      <w:tblCellMar>
        <w:top w:w="0" w:type="dxa"/>
        <w:left w:w="0" w:type="dxa"/>
        <w:bottom w:w="0" w:type="dxa"/>
        <w:right w:w="0" w:type="dxa"/>
      </w:tblCellMar>
    </w:tblPr>
    <w:tblGrid>
      <w:gridCol w:w="2627"/>
      <w:gridCol w:w="6372"/>
    </w:tblGrid>
    <w:tr>
      <w:trPr/>
      <w:tc>
        <w:tcPr>
          <w:tcW w:w="899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19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627" w:type="dxa"/>
          <w:tcBorders/>
          <w:shd w:fill="auto" w:val="clear"/>
        </w:tcPr>
        <w:p>
          <w:pPr>
            <w:pStyle w:val="Footer"/>
            <w:rPr>
              <w:rFonts w:ascii="DejaVu Serif" w:hAnsi="DejaVu Serif"/>
            </w:rPr>
          </w:pPr>
          <w:r>
            <w:rPr>
              <w:color w:val="000000"/>
              <w:sz w:val="18"/>
              <w:szCs w:val="18"/>
            </w:rPr>
            <w:t xml:space="preserve">GATS Form Version: </w:t>
          </w:r>
        </w:p>
      </w:tc>
      <w:tc>
        <w:tcPr>
          <w:tcW w:w="6372" w:type="dxa"/>
          <w:tcBorders/>
          <w:shd w:fill="auto" w:val="clear"/>
        </w:tcPr>
        <w:p>
          <w:pPr>
            <w:pStyle w:val="Footer"/>
            <w:rPr>
              <w:rFonts w:ascii="DejaVu Serif" w:hAnsi="DejaVu Serif"/>
            </w:rPr>
          </w:pPr>
          <w:r>
            <w:rPr>
              <w:rFonts w:cs="Courier New"/>
              <w:color w:val="000000"/>
              <w:sz w:val="18"/>
              <w:szCs w:val="18"/>
            </w:rPr>
            <w:t>1.0</w:t>
          </w:r>
        </w:p>
      </w:tc>
    </w:tr>
    <w:tr>
      <w:trPr/>
      <w:tc>
        <w:tcPr>
          <w:tcW w:w="2627" w:type="dxa"/>
          <w:tcBorders/>
          <w:shd w:fill="auto" w:val="clear"/>
        </w:tcPr>
        <w:p>
          <w:pPr>
            <w:pStyle w:val="Footer"/>
            <w:rPr>
              <w:rFonts w:ascii="DejaVu Serif" w:hAnsi="DejaVu Serif"/>
            </w:rPr>
          </w:pPr>
          <w:r>
            <w:rPr>
              <w:color w:val="000000"/>
              <w:sz w:val="18"/>
              <w:szCs w:val="18"/>
            </w:rPr>
            <w:t>GATS Transaction ID:</w:t>
          </w:r>
        </w:p>
      </w:tc>
      <w:tc>
        <w:tcPr>
          <w:tcW w:w="6372" w:type="dxa"/>
          <w:tcBorders/>
          <w:shd w:fill="auto" w:val="clear"/>
        </w:tcPr>
        <w:p>
          <w:pPr>
            <w:pStyle w:val="Footer"/>
            <w:tabs>
              <w:tab w:val="clear" w:pos="720"/>
              <w:tab w:val="center" w:pos="2046" w:leader="none"/>
            </w:tabs>
            <w:rPr>
              <w:rFonts w:ascii="DejaVu Serif" w:hAnsi="DejaVu Serif"/>
            </w:rPr>
          </w:pPr>
          <w:r>
            <w:rPr>
              <w:rFonts w:cs="Courier New"/>
              <w:color w:val="000000"/>
              <w:sz w:val="18"/>
              <w:szCs w:val="18"/>
            </w:rPr>
            <w:t>${trust.transactionID}</w:t>
          </w:r>
        </w:p>
      </w:tc>
    </w:tr>
  </w:tbl>
  <w:p>
    <w:pPr>
      <w:pStyle w:val="Footer"/>
      <w:spacing w:before="0" w:after="120"/>
      <w:jc w:val="center"/>
      <w:rPr>
        <w:rFonts w:ascii="DejaVu Serif" w:hAnsi="DejaVu Serif"/>
        <w:color w:val="000000"/>
        <w:sz w:val="18"/>
        <w:szCs w:val="18"/>
      </w:rPr>
    </w:pPr>
    <w:r>
      <w:rPr>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CellMar>
        <w:top w:w="0" w:type="dxa"/>
        <w:left w:w="0" w:type="dxa"/>
        <w:bottom w:w="0" w:type="dxa"/>
        <w:right w:w="0" w:type="dxa"/>
      </w:tblCellMar>
    </w:tblPr>
    <w:tblGrid>
      <w:gridCol w:w="9000"/>
    </w:tblGrid>
    <w:tr>
      <w:trPr/>
      <w:tc>
        <w:tcPr>
          <w:tcW w:w="9000" w:type="dxa"/>
          <w:tcBorders/>
          <w:shd w:fill="auto" w:val="clear"/>
        </w:tcPr>
        <w:p>
          <w:pPr>
            <w:pStyle w:val="Header"/>
            <w:jc w:val="right"/>
            <w:rPr>
              <w:rFonts w:ascii="DejaVu Serif" w:hAnsi="DejaVu Serif"/>
            </w:rPr>
          </w:pPr>
          <w:r>
            <w:rPr>
              <w:sz w:val="18"/>
              <w:szCs w:val="18"/>
              <w:lang w:val="en-GB"/>
            </w:rPr>
            <w:t>GATS SECURITY INSTRUMENT MASTER TERMS (SG)</w:t>
          </w:r>
        </w:p>
      </w:tc>
    </w:tr>
    <w:tr>
      <w:trPr/>
      <w:tc>
        <w:tcPr>
          <w:tcW w:w="9000" w:type="dxa"/>
          <w:tcBorders/>
          <w:shd w:fill="auto" w:val="clear"/>
        </w:tcPr>
        <w:p>
          <w:pPr>
            <w:pStyle w:val="Header"/>
            <w:jc w:val="right"/>
            <w:rPr>
              <w:rFonts w:ascii="DejaVu Serif" w:hAnsi="DejaVu Serif"/>
            </w:rPr>
          </w:pPr>
          <w:r>
            <w:rPr>
              <w:sz w:val="18"/>
              <w:szCs w:val="18"/>
              <w:lang w:val="en-GB"/>
            </w:rPr>
            <w:t xml:space="preserve">GATS TRUST UIN: </w:t>
          </w:r>
          <w:r>
            <w:rPr>
              <w:rFonts w:cs="Courier New"/>
              <w:color w:val="000000"/>
              <w:sz w:val="18"/>
              <w:szCs w:val="18"/>
            </w:rPr>
            <w:t>${trust.uin}</w:t>
          </w:r>
          <w:bookmarkStart w:id="50" w:name="_GoBack"/>
          <w:bookmarkEnd w:id="50"/>
        </w:p>
      </w:tc>
    </w:tr>
  </w:tbl>
  <w:p>
    <w:pPr>
      <w:pStyle w:val="Normal"/>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CellMar>
        <w:top w:w="0" w:type="dxa"/>
        <w:left w:w="0" w:type="dxa"/>
        <w:bottom w:w="0" w:type="dxa"/>
        <w:right w:w="0" w:type="dxa"/>
      </w:tblCellMar>
    </w:tblPr>
    <w:tblGrid>
      <w:gridCol w:w="9000"/>
    </w:tblGrid>
    <w:tr>
      <w:trPr/>
      <w:tc>
        <w:tcPr>
          <w:tcW w:w="9000" w:type="dxa"/>
          <w:tcBorders/>
          <w:shd w:fill="auto" w:val="clear"/>
        </w:tcPr>
        <w:p>
          <w:pPr>
            <w:pStyle w:val="Header"/>
            <w:jc w:val="right"/>
            <w:rPr>
              <w:rFonts w:ascii="DejaVu Serif" w:hAnsi="DejaVu Serif"/>
            </w:rPr>
          </w:pPr>
          <w:r>
            <w:rPr>
              <w:sz w:val="18"/>
              <w:szCs w:val="18"/>
              <w:lang w:val="en-GB"/>
            </w:rPr>
            <w:t>GATS SECURITY INSTRUMENT MASTER TERMS (SG)</w:t>
          </w:r>
        </w:p>
      </w:tc>
    </w:tr>
    <w:tr>
      <w:trPr/>
      <w:tc>
        <w:tcPr>
          <w:tcW w:w="9000" w:type="dxa"/>
          <w:tcBorders/>
          <w:shd w:fill="auto" w:val="clear"/>
        </w:tcPr>
        <w:p>
          <w:pPr>
            <w:pStyle w:val="Header"/>
            <w:jc w:val="right"/>
            <w:rPr>
              <w:rFonts w:ascii="DejaVu Serif" w:hAnsi="DejaVu Serif"/>
            </w:rPr>
          </w:pPr>
          <w:r>
            <w:rPr>
              <w:sz w:val="18"/>
              <w:szCs w:val="18"/>
              <w:lang w:val="en-GB"/>
            </w:rPr>
            <w:t xml:space="preserve">GATS TRUST UIN: </w:t>
          </w:r>
          <w:r>
            <w:rPr>
              <w:rFonts w:cs="Courier New"/>
              <w:color w:val="000000"/>
              <w:sz w:val="18"/>
              <w:szCs w:val="18"/>
            </w:rPr>
            <w:t>${trust.uin}</w:t>
          </w:r>
        </w:p>
      </w:tc>
    </w:tr>
    <w:tr>
      <w:trPr/>
      <w:tc>
        <w:tcPr>
          <w:tcW w:w="9000" w:type="dxa"/>
          <w:tcBorders/>
          <w:shd w:fill="auto" w:val="clear"/>
        </w:tcPr>
        <w:p>
          <w:pPr>
            <w:pStyle w:val="Header"/>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454" w:hanging="454"/>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decimal"/>
      <w:lvlText w:val="%7."/>
      <w:lvlJc w:val="left"/>
      <w:pPr>
        <w:tabs>
          <w:tab w:val="num" w:pos="567"/>
        </w:tabs>
        <w:ind w:left="454" w:hanging="454"/>
      </w:pPr>
    </w:lvl>
    <w:lvl w:ilvl="7">
      <w:start w:val="1"/>
      <w:numFmt w:val="lowerLetter"/>
      <w:lvlText w:val="%8."/>
      <w:lvlJc w:val="left"/>
      <w:pPr>
        <w:tabs>
          <w:tab w:val="num" w:pos="567"/>
        </w:tabs>
        <w:ind w:left="454" w:hanging="454"/>
      </w:pPr>
    </w:lvl>
    <w:lvl w:ilvl="8">
      <w:start w:val="1"/>
      <w:numFmt w:val="lowerRoman"/>
      <w:lvlText w:val="%9."/>
      <w:lvlJc w:val="right"/>
      <w:pPr>
        <w:tabs>
          <w:tab w:val="num" w:pos="567"/>
        </w:tabs>
        <w:ind w:left="454" w:hanging="454"/>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454" w:hanging="454"/>
      </w:pPr>
    </w:lvl>
    <w:lvl w:ilvl="4">
      <w:start w:val="1"/>
      <w:numFmt w:val="lowerRoman"/>
      <w:lvlText w:val="(%5)"/>
      <w:lvlJc w:val="left"/>
      <w:pPr>
        <w:tabs>
          <w:tab w:val="num" w:pos="907"/>
        </w:tabs>
        <w:ind w:left="1361" w:hanging="454"/>
      </w:pPr>
    </w:lvl>
    <w:lvl w:ilvl="5">
      <w:start w:val="1"/>
      <w:numFmt w:val="lowerRoman"/>
      <w:lvlText w:val="(%6)"/>
      <w:lvlJc w:val="left"/>
      <w:pPr>
        <w:tabs>
          <w:tab w:val="num" w:pos="1361"/>
        </w:tabs>
        <w:ind w:left="907" w:hanging="453"/>
      </w:pPr>
    </w:lvl>
    <w:lvl w:ilvl="6">
      <w:start w:val="1"/>
      <w:numFmt w:val="upperLetter"/>
      <w:lvlText w:val="(%7)"/>
      <w:lvlJc w:val="left"/>
      <w:pPr>
        <w:tabs>
          <w:tab w:val="num" w:pos="1361"/>
        </w:tabs>
        <w:ind w:left="2041" w:hanging="680"/>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4">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907" w:hanging="453"/>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upperLetter"/>
      <w:lvlText w:val="(%7)"/>
      <w:lvlJc w:val="left"/>
      <w:pPr>
        <w:tabs>
          <w:tab w:val="num" w:pos="1361"/>
        </w:tabs>
        <w:ind w:left="907" w:hanging="453"/>
      </w:pPr>
    </w:lvl>
    <w:lvl w:ilvl="7">
      <w:start w:val="1"/>
      <w:numFmt w:val="upperLetter"/>
      <w:lvlText w:val="(%8)"/>
      <w:lvlJc w:val="left"/>
      <w:pPr>
        <w:tabs>
          <w:tab w:val="num" w:pos="907"/>
        </w:tabs>
        <w:ind w:left="1361" w:hanging="454"/>
      </w:pPr>
    </w:lvl>
    <w:lvl w:ilvl="8">
      <w:start w:val="1"/>
      <w:numFmt w:val="lowerRoman"/>
      <w:lvlText w:val="%9."/>
      <w:lvlJc w:val="right"/>
      <w:pPr>
        <w:tabs>
          <w:tab w:val="num" w:pos="567"/>
        </w:tabs>
        <w:ind w:left="454" w:hanging="454"/>
      </w:pPr>
    </w:lvl>
  </w:abstractNum>
  <w:abstractNum w:abstractNumId="5">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val="false"/>
      <w:overflowPunct w:val="false"/>
      <w:bidi w:val="0"/>
      <w:spacing w:lineRule="auto" w:line="259" w:before="0" w:after="120"/>
      <w:jc w:val="left"/>
    </w:pPr>
    <w:rPr>
      <w:rFonts w:ascii="DejaVu Serif" w:hAnsi="DejaVu Serif" w:eastAsia="Calibri" w:cs="DejaVu Sans"/>
      <w:color w:val="auto"/>
      <w:kern w:val="0"/>
      <w:sz w:val="18"/>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CommentSubjectChar">
    <w:name w:val="Comment Subject Char"/>
    <w:basedOn w:val="CommentTextChar"/>
    <w:qFormat/>
    <w:rPr>
      <w:b/>
      <w:bCs/>
    </w:rPr>
  </w:style>
  <w:style w:type="character" w:styleId="BodyText3Char">
    <w:name w:val="Body Text 3 Char"/>
    <w:basedOn w:val="DefaultParagraphFont"/>
    <w:qFormat/>
    <w:rPr>
      <w:sz w:val="16"/>
      <w:szCs w:val="16"/>
    </w:rPr>
  </w:style>
  <w:style w:type="character" w:styleId="BodyText2Char">
    <w:name w:val="Body Text 2 Char"/>
    <w:basedOn w:val="DefaultParagraphFont"/>
    <w:qFormat/>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qFormat/>
    <w:pPr/>
    <w:rPr/>
  </w:style>
  <w:style w:type="paragraph" w:styleId="ListNumber">
    <w:name w:val="List Number"/>
    <w:basedOn w:val="Normal"/>
    <w:qFormat/>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spacing w:lineRule="auto" w:line="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tyle>
  <w:style w:type="paragraph" w:styleId="AWGBodyText1">
    <w:name w:val="AWG Body Text 1"/>
    <w:basedOn w:val="AWGBodyText"/>
    <w:qFormat/>
    <w:pPr>
      <w:ind w:left="454" w:right="0" w:hanging="0"/>
    </w:pPr>
    <w:rPr>
      <w:color w:val="000000"/>
    </w:rPr>
  </w:style>
  <w:style w:type="paragraph" w:styleId="AWGBodyText2">
    <w:name w:val="AWG Body Text 2"/>
    <w:basedOn w:val="AWGBodyText"/>
    <w:qFormat/>
    <w:pPr>
      <w:ind w:left="907" w:right="0" w:hanging="0"/>
    </w:pPr>
    <w:rPr/>
  </w:style>
  <w:style w:type="paragraph" w:styleId="AWGBodyText3">
    <w:name w:val="AWG Body Text 3"/>
    <w:basedOn w:val="AWGBodyText"/>
    <w:qFormat/>
    <w:pPr>
      <w:ind w:left="1361" w:right="0" w:hanging="0"/>
    </w:pPr>
    <w:rPr/>
  </w:style>
  <w:style w:type="paragraph" w:styleId="AWGNumberedList1">
    <w:name w:val="AWG Numbered List 1"/>
    <w:basedOn w:val="AWGBodyText"/>
    <w:next w:val="AWGBodyText1"/>
    <w:qFormat/>
    <w:pPr/>
    <w:rPr>
      <w:b/>
      <w:caps/>
    </w:rPr>
  </w:style>
  <w:style w:type="paragraph" w:styleId="AWGNumberedList2">
    <w:name w:val="AWG Numbered List 2"/>
    <w:basedOn w:val="AWGBodyText"/>
    <w:next w:val="AWGBodyText1"/>
    <w:qFormat/>
    <w:pPr/>
    <w:rPr/>
  </w:style>
  <w:style w:type="paragraph" w:styleId="AWGNumberedListAlt3">
    <w:name w:val="AWG Numbered List Alt 3"/>
    <w:basedOn w:val="AWGBodyText"/>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NumberedList3">
    <w:name w:val="AWG Numbered List 3"/>
    <w:basedOn w:val="AWGBodyText"/>
    <w:next w:val="AWGBodyText2"/>
    <w:qFormat/>
    <w:pPr/>
    <w:rPr/>
  </w:style>
  <w:style w:type="paragraph" w:styleId="AWGNumberedListAlt4">
    <w:name w:val="AWG Numbered List Alt 4"/>
    <w:basedOn w:val="AWGBodyText"/>
    <w:next w:val="AWGBodyText2"/>
    <w:qFormat/>
    <w:pPr/>
    <w:rPr/>
  </w:style>
  <w:style w:type="paragraph" w:styleId="AWGNumberedList4">
    <w:name w:val="AWG Numbered List 4"/>
    <w:basedOn w:val="AWGBodyText2"/>
    <w:next w:val="AWGBodyText3"/>
    <w:qFormat/>
    <w:pPr/>
    <w:rPr/>
  </w:style>
  <w:style w:type="paragraph" w:styleId="Default">
    <w:name w:val="Default"/>
    <w:qFormat/>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Def">
    <w:name w:val="AWG Def"/>
    <w:basedOn w:val="AWGBodyText"/>
    <w:qFormat/>
    <w:pPr/>
    <w:rPr>
      <w:lang w:val="en-US"/>
    </w:rPr>
  </w:style>
  <w:style w:type="paragraph" w:styleId="AWGDefPara">
    <w:name w:val="AWG Def Para"/>
    <w:basedOn w:val="AWGDef"/>
    <w:qFormat/>
    <w:pPr/>
    <w:rPr/>
  </w:style>
  <w:style w:type="paragraph" w:styleId="AWGHeading1">
    <w:name w:val="AWG Heading 1"/>
    <w:basedOn w:val="Normal"/>
    <w:next w:val="AWGBodyText1"/>
    <w:qFormat/>
    <w:pPr>
      <w:tabs>
        <w:tab w:val="left" w:pos="720" w:leader="none"/>
      </w:tabs>
      <w:spacing w:lineRule="auto" w:line="240" w:before="0" w:after="240"/>
      <w:ind w:left="720" w:right="0" w:hanging="720"/>
      <w:jc w:val="both"/>
    </w:pPr>
    <w:rPr>
      <w:b/>
      <w:caps/>
      <w:lang w:val="en-GB"/>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AWGHeading3">
    <w:name w:val="AWG Heading 3"/>
    <w:basedOn w:val="AWGHeading2"/>
    <w:next w:val="Normal"/>
    <w:qFormat/>
    <w:pPr>
      <w:tabs>
        <w:tab w:val="clear" w:pos="720"/>
        <w:tab w:val="left" w:pos="1440" w:leader="none"/>
      </w:tabs>
      <w:ind w:left="1440" w:right="0" w:hanging="720"/>
    </w:pPr>
    <w:rPr/>
  </w:style>
  <w:style w:type="paragraph" w:styleId="AWGHeadingAlt4">
    <w:name w:val="AWG Heading Alt 4"/>
    <w:basedOn w:val="AWGHeadingAlt3"/>
    <w:next w:val="Normal"/>
    <w:qFormat/>
    <w:pPr>
      <w:tabs>
        <w:tab w:val="clear" w:pos="720"/>
        <w:tab w:val="left" w:pos="1440" w:leader="none"/>
      </w:tabs>
      <w:ind w:left="1440" w:right="0" w:hanging="720"/>
    </w:pPr>
    <w:rPr/>
  </w:style>
  <w:style w:type="paragraph" w:styleId="AWGHeading4">
    <w:name w:val="AWG Heading 4"/>
    <w:basedOn w:val="AWGHeading3"/>
    <w:next w:val="Normal"/>
    <w:qFormat/>
    <w:pPr>
      <w:tabs>
        <w:tab w:val="clear" w:pos="1440"/>
        <w:tab w:val="left" w:pos="2160" w:leader="none"/>
      </w:tabs>
      <w:ind w:left="2160" w:right="0" w:hanging="720"/>
    </w:pPr>
    <w:rPr/>
  </w:style>
  <w:style w:type="paragraph" w:styleId="AWGHeadingAlt5">
    <w:name w:val="AWG Heading Alt 5"/>
    <w:basedOn w:val="AWGHeadingAlt4"/>
    <w:next w:val="Normal"/>
    <w:qFormat/>
    <w:pPr>
      <w:tabs>
        <w:tab w:val="clear" w:pos="1440"/>
        <w:tab w:val="left" w:pos="2160" w:leader="none"/>
      </w:tabs>
      <w:ind w:left="2160" w:right="0" w:hanging="720"/>
    </w:pPr>
    <w:rPr/>
  </w:style>
  <w:style w:type="paragraph" w:styleId="AWGHeading5">
    <w:name w:val="AWG Heading 5"/>
    <w:basedOn w:val="AWGHeading4"/>
    <w:next w:val="Normal"/>
    <w:qFormat/>
    <w:pPr>
      <w:tabs>
        <w:tab w:val="clear" w:pos="2160"/>
        <w:tab w:val="left" w:pos="2880" w:leader="none"/>
      </w:tabs>
      <w:ind w:left="2880" w:right="0" w:hanging="720"/>
    </w:pPr>
    <w:rPr/>
  </w:style>
  <w:style w:type="paragraph" w:styleId="Revision">
    <w:name w:val="Revision"/>
    <w:qFormat/>
    <w:pPr>
      <w:widowControl/>
      <w:overflowPunct w:val="fals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NumberedList5">
    <w:name w:val="AWG Numbered List 5"/>
    <w:basedOn w:val="AWGBodyText"/>
    <w:next w:val="AWGBodyText2"/>
    <w:qFormat/>
    <w:pPr>
      <w:tabs>
        <w:tab w:val="clear" w:pos="720"/>
        <w:tab w:val="left" w:pos="1361" w:leader="none"/>
      </w:tabs>
      <w:ind w:left="2041" w:right="0" w:hanging="680"/>
    </w:pPr>
    <w:rPr>
      <w:lang w:val="en-US"/>
    </w:rPr>
  </w:style>
  <w:style w:type="paragraph" w:styleId="AWGNumberedListAlt5">
    <w:name w:val="AWG Numbered List Alt 5"/>
    <w:basedOn w:val="AWGBodyText"/>
    <w:next w:val="AWGBodyText3"/>
    <w:qFormat/>
    <w:pPr>
      <w:tabs>
        <w:tab w:val="clear" w:pos="720"/>
        <w:tab w:val="left" w:pos="907" w:leader="none"/>
      </w:tabs>
      <w:ind w:left="1361" w:right="0" w:hanging="454"/>
    </w:pPr>
    <w:rPr/>
  </w:style>
  <w:style w:type="paragraph" w:styleId="Contents1">
    <w:name w:val="TOC 1"/>
    <w:basedOn w:val="Normal"/>
    <w:next w:val="Normal"/>
    <w:autoRedefine/>
    <w:pPr>
      <w:spacing w:before="0" w:after="100"/>
    </w:pPr>
    <w:rPr/>
  </w:style>
  <w:style w:type="paragraph" w:styleId="AWGParties">
    <w:name w:val="AWG Parties"/>
    <w:basedOn w:val="AWGBodyText"/>
    <w:qFormat/>
    <w:pPr>
      <w:spacing w:before="0" w:after="240"/>
    </w:pPr>
    <w:rPr>
      <w:sz w:val="20"/>
    </w:rPr>
  </w:style>
  <w:style w:type="paragraph" w:styleId="AWGBodyText4">
    <w:name w:val="AWG Body Text 4"/>
    <w:basedOn w:val="AWGBodyText3"/>
    <w:qFormat/>
    <w:pPr>
      <w:spacing w:before="0" w:after="240"/>
      <w:ind w:left="2880" w:right="0" w:hanging="0"/>
    </w:pPr>
    <w:rPr>
      <w:sz w:val="20"/>
    </w:rPr>
  </w:style>
  <w:style w:type="paragraph" w:styleId="ALGNo1">
    <w:name w:val="ALG No 1"/>
    <w:basedOn w:val="Normal"/>
    <w:qFormat/>
    <w:pPr>
      <w:spacing w:lineRule="auto" w:line="288" w:before="240" w:after="0"/>
      <w:jc w:val="both"/>
    </w:pPr>
    <w:rPr>
      <w:rFonts w:ascii="Arial" w:hAnsi="Arial" w:cs="Arial"/>
      <w:sz w:val="19"/>
      <w:szCs w:val="19"/>
      <w:lang w:eastAsia="en-US"/>
    </w:rPr>
  </w:style>
  <w:style w:type="paragraph" w:styleId="ALGNo2">
    <w:name w:val="ALG No 2"/>
    <w:basedOn w:val="Normal"/>
    <w:qFormat/>
    <w:pPr>
      <w:spacing w:lineRule="auto" w:line="288" w:before="240" w:after="0"/>
      <w:jc w:val="both"/>
    </w:pPr>
    <w:rPr>
      <w:rFonts w:ascii="Arial" w:hAnsi="Arial" w:cs="Arial"/>
      <w:sz w:val="19"/>
      <w:szCs w:val="19"/>
      <w:lang w:eastAsia="en-US"/>
    </w:rPr>
  </w:style>
  <w:style w:type="paragraph" w:styleId="ALGNo3">
    <w:name w:val="ALG No 3"/>
    <w:basedOn w:val="Normal"/>
    <w:qFormat/>
    <w:pPr>
      <w:spacing w:lineRule="auto" w:line="288" w:before="240" w:after="0"/>
      <w:jc w:val="both"/>
    </w:pPr>
    <w:rPr>
      <w:rFonts w:ascii="Arial" w:hAnsi="Arial" w:cs="Arial"/>
      <w:sz w:val="19"/>
      <w:szCs w:val="19"/>
      <w:lang w:eastAsia="en-US"/>
    </w:rPr>
  </w:style>
  <w:style w:type="paragraph" w:styleId="ALGNo4">
    <w:name w:val="ALG No 4"/>
    <w:basedOn w:val="Normal"/>
    <w:qFormat/>
    <w:pPr>
      <w:spacing w:lineRule="auto" w:line="288" w:before="240" w:after="0"/>
      <w:jc w:val="both"/>
    </w:pPr>
    <w:rPr>
      <w:rFonts w:ascii="Arial" w:hAnsi="Arial" w:cs="Arial"/>
      <w:sz w:val="19"/>
      <w:szCs w:val="19"/>
      <w:lang w:eastAsia="en-US"/>
    </w:rPr>
  </w:style>
  <w:style w:type="paragraph" w:styleId="ALGNo5">
    <w:name w:val="ALG No 5"/>
    <w:basedOn w:val="Normal"/>
    <w:qFormat/>
    <w:pPr>
      <w:spacing w:lineRule="auto" w:line="288" w:before="240" w:after="0"/>
      <w:jc w:val="both"/>
    </w:pPr>
    <w:rPr>
      <w:rFonts w:ascii="Arial" w:hAnsi="Arial" w:cs="Arial"/>
      <w:sz w:val="19"/>
      <w:szCs w:val="19"/>
      <w:lang w:eastAsia="en-US"/>
    </w:rPr>
  </w:style>
  <w:style w:type="paragraph" w:styleId="ALGNo6">
    <w:name w:val="ALG No 6"/>
    <w:basedOn w:val="Normal"/>
    <w:qFormat/>
    <w:pPr>
      <w:spacing w:lineRule="auto" w:line="288" w:before="240" w:after="0"/>
      <w:jc w:val="both"/>
    </w:pPr>
    <w:rPr>
      <w:rFonts w:ascii="Arial" w:hAnsi="Arial" w:cs="Arial"/>
      <w:sz w:val="19"/>
      <w:szCs w:val="19"/>
      <w:lang w:eastAsia="en-US"/>
    </w:rPr>
  </w:style>
  <w:style w:type="paragraph" w:styleId="ALGNo7">
    <w:name w:val="ALG No 7"/>
    <w:basedOn w:val="Normal"/>
    <w:qFormat/>
    <w:pPr>
      <w:spacing w:lineRule="auto" w:line="288" w:before="240" w:after="0"/>
      <w:jc w:val="both"/>
    </w:pPr>
    <w:rPr>
      <w:rFonts w:ascii="Arial" w:hAnsi="Arial" w:cs="Arial"/>
      <w:sz w:val="19"/>
      <w:szCs w:val="19"/>
      <w:lang w:eastAsia="en-US"/>
    </w:rPr>
  </w:style>
  <w:style w:type="paragraph" w:styleId="AWGExhibitHead">
    <w:name w:val="AWG Exhibit Head"/>
    <w:basedOn w:val="AWGBodyText"/>
    <w:next w:val="AWGBodyText"/>
    <w:qFormat/>
    <w:pPr>
      <w:spacing w:before="0" w:after="240"/>
      <w:jc w:val="center"/>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paragraph" w:styleId="Annotationsubject">
    <w:name w:val="annotation subject"/>
    <w:basedOn w:val="Annotationtext"/>
    <w:next w:val="Annotationtext"/>
    <w:qFormat/>
    <w:pPr/>
    <w:rPr>
      <w:b/>
      <w:bCs/>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AWGRecitals">
    <w:name w:val="AWG Recitals"/>
    <w:basedOn w:val="AWGBodyText"/>
    <w:qFormat/>
    <w:pPr/>
    <w:rPr/>
  </w:style>
  <w:style w:type="paragraph" w:styleId="AWGScheduleHead">
    <w:name w:val="AWG Schedule Head"/>
    <w:basedOn w:val="AWGBodyText"/>
    <w:next w:val="AWGBodyText"/>
    <w:qFormat/>
    <w:pPr>
      <w:pageBreakBefore/>
      <w:jc w:val="center"/>
    </w:pPr>
    <w:rPr>
      <w:b/>
    </w:rPr>
  </w:style>
  <w:style w:type="paragraph" w:styleId="AWGSchedulePart">
    <w:name w:val="AWG Schedule Part"/>
    <w:basedOn w:val="AWGBodyText"/>
    <w:next w:val="AWGBodyText"/>
    <w:qFormat/>
    <w:pPr>
      <w:jc w:val="center"/>
    </w:pPr>
    <w:rPr>
      <w:b/>
    </w:rPr>
  </w:style>
  <w:style w:type="paragraph" w:styleId="AWGAnnexHead">
    <w:name w:val="AWG Annex Head"/>
    <w:basedOn w:val="AWGScheduleHead"/>
    <w:next w:val="AWGBodyText"/>
    <w:qFormat/>
    <w:pPr/>
    <w:rPr/>
  </w:style>
  <w:style w:type="paragraph" w:styleId="AWGAnnexPart">
    <w:name w:val="AWG Annex Part"/>
    <w:basedOn w:val="AWGBodyText"/>
    <w:next w:val="AWGBodyText"/>
    <w:qFormat/>
    <w:pPr>
      <w:jc w:val="center"/>
    </w:pPr>
    <w:rPr/>
  </w:style>
  <w:style w:type="paragraph" w:styleId="AWGGenNum">
    <w:name w:val="AWG GenNum"/>
    <w:basedOn w:val="AWGBodyText"/>
    <w:qFormat/>
    <w:pPr/>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qFormat/>
    <w:pPr/>
    <w:rPr>
      <w:sz w:val="16"/>
      <w:szCs w:val="16"/>
    </w:rPr>
  </w:style>
  <w:style w:type="paragraph" w:styleId="BodyText2">
    <w:name w:val="Body Text 2"/>
    <w:basedOn w:val="Normal"/>
    <w:qFormat/>
    <w:pPr>
      <w:spacing w:lineRule="auto" w:line="480"/>
    </w:pPr>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name w:val="Article_L2"/>
    <w:basedOn w:val="ArticleL1"/>
    <w:qFormat/>
    <w:pPr>
      <w:outlineLvl w:val="1"/>
    </w:pPr>
    <w:rPr>
      <w:caps w:val="false"/>
      <w:smallCaps w:val="false"/>
    </w:rPr>
  </w:style>
  <w:style w:type="paragraph" w:styleId="ArticleL3">
    <w:name w:val="Article_L3"/>
    <w:basedOn w:val="ArticleL2"/>
    <w:qFormat/>
    <w:pPr>
      <w:keepNext w:val="false"/>
      <w:keepLines w:val="false"/>
      <w:outlineLvl w:val="2"/>
    </w:pPr>
    <w:rPr>
      <w:b w:val="false"/>
      <w:lang w:eastAsia="ja-JP"/>
    </w:rPr>
  </w:style>
  <w:style w:type="paragraph" w:styleId="ArticleL4">
    <w:name w:val="Article_L4"/>
    <w:basedOn w:val="ArticleL3"/>
    <w:qFormat/>
    <w:pPr>
      <w:outlineLvl w:val="3"/>
    </w:pPr>
    <w:rPr/>
  </w:style>
  <w:style w:type="paragraph" w:styleId="ArticleL5">
    <w:name w:val="Article_L5"/>
    <w:basedOn w:val="ArticleL4"/>
    <w:qFormat/>
    <w:pPr>
      <w:tabs>
        <w:tab w:val="clear" w:pos="720"/>
      </w:tabs>
      <w:ind w:left="3600" w:right="0" w:hanging="360"/>
      <w:jc w:val="left"/>
      <w:outlineLvl w:val="4"/>
    </w:pPr>
    <w:rPr/>
  </w:style>
  <w:style w:type="paragraph" w:styleId="ArticleL6">
    <w:name w:val="Article_L6"/>
    <w:basedOn w:val="ArticleL5"/>
    <w:qFormat/>
    <w:pPr>
      <w:ind w:left="4320" w:right="0" w:hanging="360"/>
      <w:outlineLvl w:val="5"/>
    </w:pPr>
    <w:rPr/>
  </w:style>
  <w:style w:type="paragraph" w:styleId="ArticleL7">
    <w:name w:val="Article_L7"/>
    <w:basedOn w:val="ArticleL6"/>
    <w:qFormat/>
    <w:pPr>
      <w:ind w:left="5040" w:right="0" w:hanging="360"/>
      <w:outlineLvl w:val="6"/>
    </w:pPr>
    <w:rPr/>
  </w:style>
  <w:style w:type="paragraph" w:styleId="ArticleL8">
    <w:name w:val="Article_L8"/>
    <w:basedOn w:val="ArticleL7"/>
    <w:qFormat/>
    <w:pPr>
      <w:ind w:left="5760" w:right="0" w:hanging="360"/>
      <w:outlineLvl w:val="7"/>
    </w:pPr>
    <w:rPr/>
  </w:style>
  <w:style w:type="paragraph" w:styleId="ArticleL9">
    <w:name w:val="Article_L9"/>
    <w:basedOn w:val="ArticleL8"/>
    <w:qFormat/>
    <w:pPr>
      <w:ind w:left="6480" w:right="0" w:hanging="360"/>
      <w:outlineLvl w:val="8"/>
    </w:pPr>
    <w:rPr/>
  </w:style>
  <w:style w:type="paragraph" w:styleId="AWGScheduleHeading1">
    <w:name w:val="AWG Schedule Heading1"/>
    <w:basedOn w:val="Normal"/>
    <w:qFormat/>
    <w:pPr>
      <w:spacing w:lineRule="auto" w:line="240" w:before="0" w:after="240"/>
      <w:jc w:val="both"/>
    </w:pPr>
    <w:rPr>
      <w:b/>
      <w:caps/>
    </w:rPr>
  </w:style>
  <w:style w:type="paragraph" w:styleId="AWGScheduleHeading2">
    <w:name w:val="AWG Schedule Heading2"/>
    <w:basedOn w:val="Normal"/>
    <w:qFormat/>
    <w:pPr>
      <w:spacing w:lineRule="auto" w:line="240" w:before="0" w:after="240"/>
      <w:jc w:val="both"/>
    </w:pPr>
    <w:rPr/>
  </w:style>
  <w:style w:type="paragraph" w:styleId="Contents2">
    <w:name w:val="TOC 2"/>
    <w:basedOn w:val="Normal"/>
    <w:next w:val="Normal"/>
    <w:pPr>
      <w:tabs>
        <w:tab w:val="clear" w:pos="720"/>
        <w:tab w:val="left" w:pos="1440" w:leader="none"/>
        <w:tab w:val="right" w:pos="9350" w:leader="dot"/>
      </w:tabs>
      <w:spacing w:before="0" w:after="100"/>
      <w:ind w:left="1440" w:right="0" w:hanging="720"/>
    </w:pPr>
    <w:rPr/>
  </w:style>
  <w:style w:type="paragraph" w:styleId="Contents3">
    <w:name w:val="TOC 3"/>
    <w:basedOn w:val="Normal"/>
    <w:next w:val="Normal"/>
    <w:pPr>
      <w:tabs>
        <w:tab w:val="clear" w:pos="720"/>
        <w:tab w:val="right" w:pos="9350" w:leader="dot"/>
      </w:tabs>
      <w:spacing w:before="0" w:after="100"/>
    </w:pPr>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AWGNumberedList12C">
    <w:name w:val="AWG Numbered List 1 (2C)"/>
    <w:basedOn w:val="AWGBodyText12C"/>
    <w:next w:val="AWGBodyText12C"/>
    <w:qFormat/>
    <w:pPr/>
    <w:rPr>
      <w:b/>
      <w:caps/>
    </w:rPr>
  </w:style>
  <w:style w:type="paragraph" w:styleId="AWGNumberedList22C">
    <w:name w:val="AWG Numbered List 2 (2C)"/>
    <w:basedOn w:val="AWGBodyText12C"/>
    <w:next w:val="AWGBodyText12C"/>
    <w:qFormat/>
    <w:pPr/>
    <w:rPr/>
  </w:style>
  <w:style w:type="paragraph" w:styleId="AWGNumberedListAlt32C">
    <w:name w:val="AWG Numbered List Alt 3 (2C)"/>
    <w:basedOn w:val="AWGNumberedList22C"/>
    <w:next w:val="AWGBodyText12C"/>
    <w:qFormat/>
    <w:pPr/>
    <w:rPr/>
  </w:style>
  <w:style w:type="paragraph" w:styleId="AWGNumberedList32C">
    <w:name w:val="AWG Numbered List 3 (2C)"/>
    <w:basedOn w:val="AWGBodyText22C"/>
    <w:next w:val="Normal"/>
    <w:qFormat/>
    <w:pPr/>
    <w:rPr/>
  </w:style>
  <w:style w:type="paragraph" w:styleId="AWGBodyText22C">
    <w:name w:val="AWG Body Text 2 (2C)"/>
    <w:basedOn w:val="AWGBodyText2C"/>
    <w:qFormat/>
    <w:pPr>
      <w:ind w:left="907" w:right="0" w:hanging="0"/>
    </w:pPr>
    <w:rPr/>
  </w:style>
  <w:style w:type="paragraph" w:styleId="AWGNumberedList42C">
    <w:name w:val="AWG Numbered List 4 (2C)"/>
    <w:basedOn w:val="AWGBodyText32C"/>
    <w:next w:val="Normal"/>
    <w:qFormat/>
    <w:pPr>
      <w:tabs>
        <w:tab w:val="clear" w:pos="720"/>
        <w:tab w:val="left" w:pos="1361" w:leader="none"/>
      </w:tabs>
    </w:pPr>
    <w:rPr/>
  </w:style>
  <w:style w:type="paragraph" w:styleId="AWGBodyText2C">
    <w:name w:val="AWG Body Text (2C)"/>
    <w:basedOn w:val="Normal"/>
    <w:qFormat/>
    <w:pPr>
      <w:spacing w:lineRule="auto" w:line="240"/>
      <w:jc w:val="both"/>
    </w:pPr>
    <w:rPr>
      <w:sz w:val="18"/>
      <w:lang w:val="en-GB"/>
    </w:rPr>
  </w:style>
  <w:style w:type="paragraph" w:styleId="AWGNumberedListAlt42C">
    <w:name w:val="AWG Numbered List Alt 4 (2C)"/>
    <w:basedOn w:val="AWGNumberedList32C"/>
    <w:next w:val="Normal"/>
    <w:qFormat/>
    <w:pPr/>
    <w:rPr/>
  </w:style>
  <w:style w:type="paragraph" w:styleId="AWGBodyText32C">
    <w:name w:val="AWG Body Text 3 (2C)"/>
    <w:basedOn w:val="AWGBodyText2C"/>
    <w:qFormat/>
    <w:pPr>
      <w:ind w:left="1361" w:right="0" w:hanging="0"/>
    </w:pPr>
    <w:rPr/>
  </w:style>
  <w:style w:type="paragraph" w:styleId="AWGDef2C">
    <w:name w:val="AWG Def (2C)"/>
    <w:basedOn w:val="AWGBodyText2C"/>
    <w:qFormat/>
    <w:pPr/>
    <w:rPr/>
  </w:style>
  <w:style w:type="paragraph" w:styleId="AWGDefPara2C">
    <w:name w:val="AWG Def Para (2C)"/>
    <w:basedOn w:val="AWGBodyText12C"/>
    <w:qFormat/>
    <w:pPr/>
    <w:rPr/>
  </w:style>
  <w:style w:type="paragraph" w:styleId="AWGNumberedList52C">
    <w:name w:val="AWG Numbered List 5 (2C)"/>
    <w:basedOn w:val="AWGBodyText42C"/>
    <w:qFormat/>
    <w:pPr/>
    <w:rPr/>
  </w:style>
  <w:style w:type="paragraph" w:styleId="AWGBodyText42C">
    <w:name w:val="AWG Body Text 4 (2C)"/>
    <w:basedOn w:val="AWGBodyText32C"/>
    <w:qFormat/>
    <w:pPr>
      <w:ind w:left="1814" w:right="0" w:hanging="0"/>
    </w:pPr>
    <w:rPr/>
  </w:style>
  <w:style w:type="paragraph" w:styleId="AWGNumberedListAlt52C">
    <w:name w:val="AWG Numbered List Alt 5 (2C)"/>
    <w:basedOn w:val="AWGBodyText32C"/>
    <w:qFormat/>
    <w:pPr/>
    <w:rPr/>
  </w:style>
  <w:style w:type="paragraph" w:styleId="Annotationtext">
    <w:name w:val="annotation text"/>
    <w:basedOn w:val="Normal"/>
    <w:qFormat/>
    <w:pPr>
      <w:spacing w:lineRule="auto" w:line="24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62</TotalTime>
  <Application>LibreOffice/6.4.3.2$MacOSX_X86_64 LibreOffice_project/747b5d0ebf89f41c860ec2a39efd7cb15b54f2d8</Application>
  <Pages>19</Pages>
  <Words>12150</Words>
  <Characters>62380</Characters>
  <CharactersWithSpaces>73876</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2020-02-27T15:41:00Z</dcterms:created>
  <dc:creator>Pearson, Dominic</dc:creator>
  <dc:description/>
  <dc:language>en-US</dc:language>
  <cp:lastModifiedBy/>
  <cp:lastPrinted>2019-03-29T16:21:00Z</cp:lastPrinted>
  <dcterms:modified xsi:type="dcterms:W3CDTF">2020-10-02T15:51:32Z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#4830-0364-9142v15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