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 w:type="dxa"/>
        <w:tblCellMar>
          <w:top w:w="0" w:type="dxa"/>
          <w:left w:w="108" w:type="dxa"/>
          <w:bottom w:w="0" w:type="dxa"/>
          <w:right w:w="108" w:type="dxa"/>
        </w:tblCellMar>
        <w:tblLook w:val="04a0" w:noVBand="1" w:noHBand="0" w:lastColumn="0" w:firstColumn="1" w:lastRow="0" w:firstRow="1"/>
      </w:tblPr>
      <w:tblGrid>
        <w:gridCol w:w="3093"/>
        <w:gridCol w:w="5950"/>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mc:AlternateContent>
                <mc:Choice Requires="wps">
                  <w:drawing>
                    <wp:anchor behindDoc="0" distT="0" distB="0" distL="0" distR="0" simplePos="0" locked="0" layoutInCell="1" allowOverlap="1" relativeHeight="2" wp14:anchorId="4AE2B000">
                      <wp:simplePos x="0" y="0"/>
                      <wp:positionH relativeFrom="column">
                        <wp:posOffset>3954780</wp:posOffset>
                      </wp:positionH>
                      <wp:positionV relativeFrom="paragraph">
                        <wp:posOffset>189865</wp:posOffset>
                      </wp:positionV>
                      <wp:extent cx="251460" cy="175260"/>
                      <wp:effectExtent l="0" t="0" r="9525" b="9525"/>
                      <wp:wrapNone/>
                      <wp:docPr id="1"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color w:val="000000"/>
                                    </w:rPr>
                                  </w:pPr>
                                  <w:r>
                                    <w:rPr>
                                      <w:color w:val="000000"/>
                                    </w:rPr>
                                  </w:r>
                                </w:p>
                              </w:txbxContent>
                            </wps:txbx>
                            <wps:bodyPr lIns="0" rIns="0" tIns="0" bIns="0">
                              <a:noAutofit/>
                            </wps:bodyPr>
                          </wps:wsp>
                        </a:graphicData>
                      </a:graphic>
                    </wp:anchor>
                  </w:drawing>
                </mc:Choice>
                <mc:Fallback>
                  <w:pict>
                    <v:rect id="shape_0" ID="Text Box 3" stroked="f" style="position:absolute;margin-left:311.4pt;margin-top:14.95pt;width:19.7pt;height:13.7pt" wp14:anchorId="4AE2B000">
                      <w10:wrap type="none"/>
                      <v:fill o:detectmouseclick="t" on="false"/>
                      <v:stroke color="#3465a4" weight="6480" joinstyle="round" endcap="flat"/>
                      <v:textbox>
                        <w:txbxContent>
                          <w:p>
                            <w:pPr>
                              <w:pStyle w:val="FrameContents"/>
                              <w:spacing w:before="0" w:after="0"/>
                              <w:rPr>
                                <w:color w:val="000000"/>
                              </w:rPr>
                            </w:pPr>
                            <w:r>
                              <w:rPr>
                                <w:color w:val="000000"/>
                              </w:rPr>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4" wp14:anchorId="4AE2B000">
                      <wp:simplePos x="0" y="0"/>
                      <wp:positionH relativeFrom="column">
                        <wp:posOffset>3888105</wp:posOffset>
                      </wp:positionH>
                      <wp:positionV relativeFrom="paragraph">
                        <wp:posOffset>270510</wp:posOffset>
                      </wp:positionV>
                      <wp:extent cx="254000" cy="177800"/>
                      <wp:effectExtent l="0" t="0" r="9525" b="9525"/>
                      <wp:wrapNone/>
                      <wp:docPr id="3" name="Text Box 3"/>
                      <a:graphic xmlns:a="http://schemas.openxmlformats.org/drawingml/2006/main">
                        <a:graphicData uri="http://schemas.microsoft.com/office/word/2010/wordprocessingShape">
                          <wps:wsp>
                            <wps:cNvSpPr/>
                            <wps:spPr>
                              <a:xfrm>
                                <a:off x="0" y="0"/>
                                <a:ext cx="253440" cy="17712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21.3pt;width:19.9pt;height:13.9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Security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09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50" w:type="dxa"/>
            <w:tcBorders>
              <w:top w:val="nil"/>
              <w:left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09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50" w:type="dxa"/>
            <w:tcBorders>
              <w:top w:val="nil"/>
              <w:left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w:t>
            </w:r>
            <w:r>
              <w:rPr>
                <w:rFonts w:eastAsia="Calibri" w:cs=""/>
                <w:color w:val="000000"/>
                <w:kern w:val="0"/>
                <w:sz w:val="18"/>
                <w:szCs w:val="20"/>
                <w:lang w:val="en-US" w:eastAsia="ja-JP" w:bidi="ar-SA"/>
              </w:rPr>
              <w:t>uin</w:t>
            </w:r>
            <w:r>
              <w:rPr>
                <w:color w:val="000000"/>
                <w:sz w:val="18"/>
                <w:lang w:val="en-US"/>
              </w:rPr>
              <w:t>}</w:t>
            </w:r>
          </w:p>
        </w:tc>
      </w:tr>
      <w:tr>
        <w:trPr/>
        <w:tc>
          <w:tcPr>
            <w:tcW w:w="3093" w:type="dxa"/>
            <w:tcBorders>
              <w:top w:val="nil"/>
              <w:left w:val="nil"/>
              <w:bottom w:val="nil"/>
              <w:right w:val="nil"/>
            </w:tcBorders>
            <w:shd w:fill="auto" w:val="clear"/>
          </w:tcPr>
          <w:p>
            <w:pPr>
              <w:pStyle w:val="AWGBodyText"/>
              <w:spacing w:lineRule="auto" w:line="240" w:before="0" w:after="0"/>
              <w:jc w:val="right"/>
              <w:rPr>
                <w:b/>
                <w:b/>
              </w:rPr>
            </w:pPr>
            <w:r>
              <w:rPr>
                <w:b/>
              </w:rPr>
              <w:t>Name of Trust:</w:t>
            </w:r>
          </w:p>
        </w:tc>
        <w:tc>
          <w:tcPr>
            <w:tcW w:w="5950" w:type="dxa"/>
            <w:tcBorders>
              <w:top w:val="nil"/>
              <w:left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093" w:type="dxa"/>
            <w:tcBorders>
              <w:top w:val="nil"/>
              <w:left w:val="nil"/>
              <w:bottom w:val="nil"/>
              <w:right w:val="nil"/>
            </w:tcBorders>
            <w:shd w:fill="auto" w:val="clear"/>
          </w:tcPr>
          <w:p>
            <w:pPr>
              <w:pStyle w:val="AWGBodyText"/>
              <w:spacing w:lineRule="auto" w:line="240" w:before="0" w:after="0"/>
              <w:jc w:val="right"/>
              <w:rPr>
                <w:b/>
                <w:b/>
              </w:rPr>
            </w:pPr>
            <w:r>
              <w:rPr>
                <w:b/>
              </w:rPr>
              <w:t>Effective Time:</w:t>
            </w:r>
          </w:p>
        </w:tc>
        <w:tc>
          <w:tcPr>
            <w:tcW w:w="5950" w:type="dxa"/>
            <w:tcBorders>
              <w:top w:val="nil"/>
              <w:left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093"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50"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SECURITY TRANSFER INSTRUMENT </w:t>
      </w:r>
      <w:r>
        <w:rPr/>
        <w:t xml:space="preserve">is dated </w:t>
      </w:r>
      <w:bookmarkStart w:id="0" w:name="_Hlk27051095"/>
      <w:r>
        <w:rPr/>
        <w:t>the date on which the Effective Time occurred</w:t>
      </w:r>
      <w:bookmarkEnd w:id="0"/>
      <w:r>
        <w:rPr/>
        <w:t xml:space="preserve">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EXISTING SECURED PARTY from time to time, as amended from time to time prior to the effectiveness of this Instrument; and</w:t>
      </w:r>
    </w:p>
    <w:p>
      <w:pPr>
        <w:pStyle w:val="AWGParties"/>
        <w:numPr>
          <w:ilvl w:val="0"/>
          <w:numId w:val="1"/>
        </w:numPr>
        <w:rPr/>
      </w:pPr>
      <w:r>
        <w:rPr/>
        <w:t xml:space="preserve">the NEW SECURED PARTY from time to time, acting in the capacity as indicated in </w:t>
      </w:r>
      <w:bookmarkStart w:id="1" w:name="__DdeLink__877_3402217688"/>
      <w:r>
        <w:rPr/>
        <w:t>Schedule</w:t>
      </w:r>
      <w:bookmarkEnd w:id="1"/>
      <w:r>
        <w:rPr/>
        <w:t xml:space="preserve"> 2 (</w:t>
      </w:r>
      <w:r>
        <w:rPr>
          <w:i/>
        </w:rPr>
        <w:t>Party Details</w:t>
      </w:r>
      <w:r>
        <w:rPr/>
        <w:t>).</w:t>
      </w:r>
    </w:p>
    <w:p>
      <w:pPr>
        <w:pStyle w:val="AWGParties"/>
        <w:numPr>
          <w:ilvl w:val="0"/>
          <w:numId w:val="0"/>
        </w:numPr>
        <w:spacing w:before="0" w:after="69"/>
        <w:ind w:left="720" w:hanging="720"/>
        <w:rPr>
          <w:rFonts w:ascii="DejaVu Serif" w:hAnsi="DejaVu Serif"/>
          <w:b/>
          <w:b/>
        </w:rPr>
      </w:pPr>
      <w:r>
        <w:rPr>
          <w:b/>
        </w:rPr>
      </w:r>
    </w:p>
    <w:p>
      <w:pPr>
        <w:pStyle w:val="AWGParties"/>
        <w:numPr>
          <w:ilvl w:val="0"/>
          <w:numId w:val="0"/>
        </w:numPr>
        <w:ind w:left="72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6" w:name="_Toc525847168"/>
      <w:r>
        <w:rPr>
          <w:rFonts w:ascii="DejaVu Serif" w:hAnsi="DejaVu Serif"/>
        </w:rPr>
        <w:t>Definition</w:t>
      </w:r>
      <w:bookmarkEnd w:id="6"/>
      <w:r>
        <w:rPr>
          <w:rFonts w:ascii="DejaVu Serif" w:hAnsi="DejaVu Serif"/>
        </w:rPr>
        <w:t>s</w:t>
      </w:r>
    </w:p>
    <w:p>
      <w:pPr>
        <w:pStyle w:val="AWGBodyText2C"/>
        <w:rPr>
          <w:rFonts w:ascii="DejaVu Serif" w:hAnsi="DejaVu Serif"/>
        </w:rPr>
      </w:pPr>
      <w:bookmarkStart w:id="7" w:name="_Ref525842536"/>
      <w:r>
        <w:rPr>
          <w:rFonts w:ascii="DejaVu Serif" w:hAnsi="DejaVu Serif"/>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 xml:space="preserve">Beneficiary </w:t>
      </w:r>
      <w:r>
        <w:rPr>
          <w:rFonts w:ascii="DejaVu Serif" w:hAnsi="DejaVu Serif"/>
        </w:rPr>
        <w:t>means the person identified as the ‘Beneficiary’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bookmarkStart w:id="8" w:name="_Hlk535259818"/>
      <w:r>
        <w:rPr>
          <w:rFonts w:ascii="DejaVu Serif" w:hAnsi="DejaVu Serif"/>
          <w:b/>
        </w:rPr>
        <w:t>Effective Time</w:t>
      </w:r>
      <w:r>
        <w:rPr>
          <w:rFonts w:ascii="DejaVu Serif" w:hAnsi="DejaVu Serif"/>
        </w:rPr>
        <w:t xml:space="preserve"> means date and time at which this Instrument is executed and delivered, as </w:t>
      </w:r>
      <w:bookmarkEnd w:id="8"/>
      <w:r>
        <w:rPr>
          <w:rFonts w:ascii="DejaVu Serif" w:hAnsi="DejaVu Serif"/>
        </w:rPr>
        <w:t>described on the cover page to this Instrument.</w:t>
      </w:r>
    </w:p>
    <w:p>
      <w:pPr>
        <w:pStyle w:val="AWGDef2C"/>
        <w:numPr>
          <w:ilvl w:val="0"/>
          <w:numId w:val="3"/>
        </w:numPr>
        <w:rPr/>
      </w:pPr>
      <w:r>
        <w:rPr>
          <w:rFonts w:ascii="DejaVu Serif" w:hAnsi="DejaVu Serif"/>
          <w:b/>
        </w:rPr>
        <w:t>Existing Secured Party</w:t>
      </w:r>
      <w:r>
        <w:rPr>
          <w:rFonts w:ascii="DejaVu Serif" w:hAnsi="DejaVu Serif"/>
        </w:rPr>
        <w:t xml:space="preserve"> means the person identified as the ‘Existing Secured Party’ in Schedule 2 (</w:t>
      </w:r>
      <w:r>
        <w:rPr>
          <w:rFonts w:ascii="DejaVu Serif" w:hAnsi="DejaVu Serif"/>
          <w:i/>
        </w:rPr>
        <w:t>Party Details</w:t>
      </w:r>
      <w:r>
        <w:rPr>
          <w:rFonts w:ascii="DejaVu Serif" w:hAnsi="DejaVu Serif"/>
        </w:rPr>
        <w:t>), acting in the capacity as indicated in the GATS Security Instrument.</w:t>
      </w:r>
    </w:p>
    <w:p>
      <w:pPr>
        <w:pStyle w:val="AWGDef2C"/>
        <w:numPr>
          <w:ilvl w:val="0"/>
          <w:numId w:val="3"/>
        </w:numPr>
        <w:rPr/>
      </w:pPr>
      <w:r>
        <w:rPr>
          <w:rFonts w:ascii="DejaVu Serif" w:hAnsi="DejaVu Serif"/>
          <w:b/>
        </w:rPr>
        <w:t xml:space="preserve">GATS Security Instrument </w:t>
      </w:r>
      <w:r>
        <w:rPr>
          <w:rFonts w:ascii="DejaVu Serif" w:hAnsi="DejaVu Serif"/>
        </w:rPr>
        <w:t>means the GATS Security Instrument relating to the GATS Trust among the Beneficiary, the Existing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rFonts w:ascii="DejaVu Serif" w:hAnsi="DejaVu Serif"/>
          <w:i/>
        </w:rPr>
        <w:t>Amendments to Description of GATS Security Documents</w:t>
      </w:r>
      <w:r>
        <w:rPr>
          <w:rFonts w:ascii="DejaVu Serif" w:hAnsi="DejaVu Serif"/>
        </w:rPr>
        <w: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pPr>
      <w:r>
        <w:rPr>
          <w:rFonts w:ascii="DejaVu Serif" w:hAnsi="DejaVu Serif"/>
          <w:b/>
        </w:rPr>
        <w:t>New Secured Party</w:t>
      </w:r>
      <w:r>
        <w:rPr>
          <w:rFonts w:ascii="DejaVu Serif" w:hAnsi="DejaVu Serif"/>
        </w:rPr>
        <w:t xml:space="preserve"> means the person identified as the ‘New Secured Party’ in Schedule 2 (</w:t>
      </w:r>
      <w:r>
        <w:rPr>
          <w:rFonts w:ascii="DejaVu Serif" w:hAnsi="DejaVu Serif"/>
          <w:i/>
        </w:rPr>
        <w:t>Party Details</w:t>
      </w:r>
      <w:r>
        <w:rPr>
          <w:rFonts w:ascii="DejaVu Serif" w:hAnsi="DejaVu Serif"/>
        </w:rPr>
        <w:t>), acting in the capacity as indicated in such Schedule.</w:t>
      </w:r>
    </w:p>
    <w:p>
      <w:pPr>
        <w:pStyle w:val="AWGDef2C"/>
        <w:numPr>
          <w:ilvl w:val="0"/>
          <w:numId w:val="3"/>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a</w:t>
      </w:r>
      <w:r>
        <w:rPr>
          <w:rFonts w:ascii="DejaVu Serif" w:hAnsi="DejaVu Serif"/>
        </w:rPr>
        <w:t>ll of the Existing Secured Party’s obligations, duties and liabilities under the GATS Security Documents, excluding the Transferred Obligations.</w:t>
      </w:r>
    </w:p>
    <w:p>
      <w:pPr>
        <w:pStyle w:val="AWGDef2C"/>
        <w:numPr>
          <w:ilvl w:val="0"/>
          <w:numId w:val="3"/>
        </w:numPr>
        <w:rPr>
          <w:rFonts w:ascii="DejaVu Serif" w:hAnsi="DejaVu Serif"/>
        </w:rPr>
      </w:pPr>
      <w:r>
        <w:rPr>
          <w:rFonts w:ascii="DejaVu Serif" w:hAnsi="DejaVu Serif"/>
          <w:b/>
          <w:color w:val="000000" w:themeColor="text1"/>
        </w:rPr>
        <w:t xml:space="preserve">Retained Rights </w:t>
      </w:r>
      <w:r>
        <w:rPr>
          <w:rFonts w:ascii="DejaVu Serif" w:hAnsi="DejaVu Serif"/>
          <w:color w:val="000000" w:themeColor="text1"/>
        </w:rPr>
        <w:t>a</w:t>
      </w:r>
      <w:r>
        <w:rPr>
          <w:rFonts w:ascii="DejaVu Serif" w:hAnsi="DejaVu Serif"/>
        </w:rPr>
        <w:t>ll of the Existing Secured Party’s right, title and interest in, to and under the GATS Security Documents, excluding the Transferred Security Interest and the Transferred Rights.</w:t>
      </w:r>
    </w:p>
    <w:p>
      <w:pPr>
        <w:pStyle w:val="AWGDef2C"/>
        <w:numPr>
          <w:ilvl w:val="0"/>
          <w:numId w:val="3"/>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w:t>
      </w:r>
      <w:bookmarkStart w:id="9" w:name="_Hlk26970161"/>
      <w:r>
        <w:rPr>
          <w:rFonts w:ascii="DejaVu Serif" w:hAnsi="DejaVu Serif"/>
        </w:rPr>
        <w:t xml:space="preserve">after giving effect to the amendments referred to in Section </w:t>
      </w:r>
      <w:bookmarkEnd w:id="9"/>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r>
        <w:rPr>
          <w:rFonts w:ascii="DejaVu Serif" w:hAnsi="DejaVu Serif"/>
          <w:color w:val="000000" w:themeColor="text1"/>
        </w:rPr>
        <w:t>a</w:t>
      </w:r>
      <w:r>
        <w:rPr>
          <w:rFonts w:ascii="DejaVu Serif" w:hAnsi="DejaVu Serif"/>
        </w:rPr>
        <w:t>ll of the Existing Secured Party’s obligations, duties and liabilities under the GATS Security Documents arising during or required to be performed during any period after the Effective Time.</w:t>
      </w:r>
    </w:p>
    <w:p>
      <w:pPr>
        <w:pStyle w:val="AWGDef2C"/>
        <w:numPr>
          <w:ilvl w:val="0"/>
          <w:numId w:val="3"/>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w:t>
      </w:r>
      <w:r>
        <w:rPr>
          <w:rFonts w:ascii="DejaVu Serif" w:hAnsi="DejaVu Serif"/>
          <w:color w:val="000000" w:themeColor="text1"/>
        </w:rPr>
        <w:t xml:space="preserve"> a</w:t>
      </w:r>
      <w:r>
        <w:rPr>
          <w:rFonts w:ascii="DejaVu Serif" w:hAnsi="DejaVu Serif"/>
        </w:rPr>
        <w:t>ll of the Existing Secured Party’s right, title and interest in, to and under the GATS Security Documents arising during or required to be performed during any period after the Effective Time.</w:t>
      </w:r>
    </w:p>
    <w:p>
      <w:pPr>
        <w:pStyle w:val="AWGDef2C"/>
        <w:numPr>
          <w:ilvl w:val="0"/>
          <w:numId w:val="3"/>
        </w:numPr>
        <w:rPr>
          <w:rFonts w:ascii="DejaVu Serif" w:hAnsi="DejaVu Serif"/>
        </w:rPr>
      </w:pPr>
      <w:r>
        <w:rPr>
          <w:rFonts w:ascii="DejaVu Serif" w:hAnsi="DejaVu Serif"/>
          <w:b/>
        </w:rPr>
        <w:t>Transferred Security Interest</w:t>
      </w:r>
      <w:r>
        <w:rPr>
          <w:rFonts w:ascii="DejaVu Serif" w:hAnsi="DejaVu Serif"/>
        </w:rPr>
        <w:t xml:space="preserve"> means all of the Security Interest granted to the Existing Secured Party (or assigned and transferred to it, as applicable) prior to the effectiveness of this Instrument pursuant to the GATS Security Instrument.</w:t>
      </w:r>
    </w:p>
    <w:p>
      <w:pPr>
        <w:pStyle w:val="AWGDef2C"/>
        <w:numPr>
          <w:ilvl w:val="0"/>
          <w:numId w:val="3"/>
        </w:numPr>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r>
        <w:rPr>
          <w:rFonts w:ascii="DejaVu Serif" w:hAnsi="DejaVu Serif"/>
        </w:rPr>
        <w:t>.</w:t>
      </w:r>
    </w:p>
    <w:p>
      <w:pPr>
        <w:pStyle w:val="AWGNumberedList12C"/>
        <w:numPr>
          <w:ilvl w:val="0"/>
          <w:numId w:val="4"/>
        </w:numPr>
        <w:rPr>
          <w:rFonts w:ascii="DejaVu Serif" w:hAnsi="DejaVu Serif"/>
        </w:rPr>
      </w:pPr>
      <w:r>
        <w:rPr>
          <w:rFonts w:ascii="DejaVu Serif" w:hAnsi="DejaVu Serif"/>
        </w:rPr>
        <w:t>Assignment and Transfer</w:t>
      </w:r>
    </w:p>
    <w:p>
      <w:pPr>
        <w:pStyle w:val="AWGNumberedList22C"/>
        <w:numPr>
          <w:ilvl w:val="1"/>
          <w:numId w:val="4"/>
        </w:numPr>
        <w:rPr>
          <w:rFonts w:ascii="DejaVu Serif" w:hAnsi="DejaVu Serif"/>
        </w:rPr>
      </w:pPr>
      <w:bookmarkStart w:id="10" w:name="_Ref528609441"/>
      <w:r>
        <w:rPr>
          <w:rFonts w:ascii="DejaVu Serif" w:hAnsi="DejaVu Serif"/>
        </w:rPr>
        <w:t>Assignment and Transfer of Security Interest</w:t>
      </w:r>
      <w:bookmarkEnd w:id="10"/>
    </w:p>
    <w:p>
      <w:pPr>
        <w:pStyle w:val="AWGBodyText12C"/>
        <w:rPr>
          <w:rFonts w:ascii="DejaVu Serif" w:hAnsi="DejaVu Serif"/>
        </w:rPr>
      </w:pPr>
      <w:r>
        <w:rPr>
          <w:rFonts w:ascii="DejaVu Serif" w:hAnsi="DejaVu Serif"/>
        </w:rPr>
        <w:t>With effect from the Effective Time, the Existing Secured Party assigns and transfers to the New Secured Party all of its right, title and interest in and to the Transferred Security Interest, and the New Secured Party accepts such assignment and transfer. Except as otherwise expressly provided in any other document to which the Existing Secured Party is a party, the Transferred Security Interest is assigned and transferred to the New Secured Party pursuant to this Instrument “AS IS” and “WHERE IS”.</w:t>
      </w:r>
    </w:p>
    <w:p>
      <w:pPr>
        <w:pStyle w:val="AWGNumberedList22C"/>
        <w:numPr>
          <w:ilvl w:val="1"/>
          <w:numId w:val="4"/>
        </w:numPr>
        <w:rPr>
          <w:rFonts w:ascii="DejaVu Serif" w:hAnsi="DejaVu Serif"/>
        </w:rPr>
      </w:pPr>
      <w:r>
        <w:rPr>
          <w:rFonts w:ascii="DejaVu Serif" w:hAnsi="DejaVu Serif"/>
        </w:rPr>
        <w:t>Assignment and Transfer of Rights and Obligations under GATS Security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Secured Party assigns and transfers all of its Transferred Rights and all of its Transferred Obligations to the New Secured Party, and agrees that it is no longer entitled to the benefit of any of its Transferred Rights;</w:t>
      </w:r>
    </w:p>
    <w:p>
      <w:pPr>
        <w:pStyle w:val="AWGNumberedListAlt32C"/>
        <w:numPr>
          <w:ilvl w:val="3"/>
          <w:numId w:val="4"/>
        </w:numPr>
        <w:rPr>
          <w:rFonts w:ascii="DejaVu Serif" w:hAnsi="DejaVu Serif"/>
        </w:rPr>
      </w:pPr>
      <w:r>
        <w:rPr>
          <w:rFonts w:ascii="DejaVu Serif" w:hAnsi="DejaVu Serif"/>
        </w:rPr>
        <w:t>the New Secured Party accepts such assignment and transfer, and agrees to perform its Transferred Obligations as the ‘Secured Party’ under the GATS Security Instrument;</w:t>
      </w:r>
    </w:p>
    <w:p>
      <w:pPr>
        <w:pStyle w:val="AWGNumberedListAlt32C"/>
        <w:numPr>
          <w:ilvl w:val="3"/>
          <w:numId w:val="4"/>
        </w:numPr>
        <w:rPr>
          <w:rFonts w:ascii="DejaVu Serif" w:hAnsi="DejaVu Serif"/>
        </w:rPr>
      </w:pPr>
      <w:r>
        <w:rPr>
          <w:rFonts w:ascii="DejaVu Serif" w:hAnsi="DejaVu Serif"/>
        </w:rPr>
        <w:t>each of the Beneficiary and the Trustee, by operation of its agreement and consent pursuant to section 7.3 in the Master Terms:</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Secured Party;</w:t>
      </w:r>
    </w:p>
    <w:p>
      <w:pPr>
        <w:pStyle w:val="AWGNumberedListAlt42C"/>
        <w:numPr>
          <w:ilvl w:val="5"/>
          <w:numId w:val="4"/>
        </w:numPr>
        <w:rPr>
          <w:rFonts w:ascii="DejaVu Serif" w:hAnsi="DejaVu Serif"/>
        </w:rPr>
      </w:pPr>
      <w:r>
        <w:rPr>
          <w:rFonts w:ascii="DejaVu Serif" w:hAnsi="DejaVu Serif"/>
        </w:rPr>
        <w:t>releases the Existing Secured Party from all of the Transferred Obligations;</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Secured Party; and</w:t>
      </w:r>
    </w:p>
    <w:p>
      <w:pPr>
        <w:pStyle w:val="AWGNumberedListAlt42C"/>
        <w:numPr>
          <w:ilvl w:val="5"/>
          <w:numId w:val="4"/>
        </w:numPr>
        <w:rPr>
          <w:rFonts w:ascii="DejaVu Serif" w:hAnsi="DejaVu Serif"/>
        </w:rPr>
      </w:pPr>
      <w:r>
        <w:rPr>
          <w:rFonts w:ascii="DejaVu Serif" w:hAnsi="DejaVu Serif"/>
        </w:rPr>
        <w:t>agrees that it has been notified of the assignment and transfer of the Transferred Security Interest, the Transferred Rights and the Transferred Obligations effected by this Instrument.</w:t>
      </w:r>
    </w:p>
    <w:p>
      <w:pPr>
        <w:pStyle w:val="AWGNumberedList22C"/>
        <w:numPr>
          <w:ilvl w:val="1"/>
          <w:numId w:val="4"/>
        </w:numPr>
        <w:rPr>
          <w:rFonts w:ascii="DejaVu Serif" w:hAnsi="DejaVu Serif"/>
        </w:rPr>
      </w:pPr>
      <w:bookmarkStart w:id="11" w:name="_Ref526151655"/>
      <w:r>
        <w:rPr>
          <w:rFonts w:ascii="DejaVu Serif" w:hAnsi="DejaVu Serif"/>
        </w:rPr>
        <w:t>Retained Rights and Retained Obligations</w:t>
      </w:r>
      <w:bookmarkEnd w:id="11"/>
    </w:p>
    <w:p>
      <w:pPr>
        <w:pStyle w:val="AWGBodyText12C"/>
        <w:rPr>
          <w:rFonts w:ascii="DejaVu Serif" w:hAnsi="DejaVu Serif"/>
        </w:rPr>
      </w:pPr>
      <w:r>
        <w:rPr>
          <w:rFonts w:ascii="DejaVu Serif" w:hAnsi="DejaVu Serif"/>
        </w:rPr>
        <w:t>The Existing Secured Party shall remain entitled to its Retained Rights and shall remain bound to perform its Retained Obligations, as if it had remained the ‘Secured Party’ under the GATS Security Instrument.</w:t>
      </w:r>
    </w:p>
    <w:p>
      <w:pPr>
        <w:pStyle w:val="AWGNumberedList22C"/>
        <w:numPr>
          <w:ilvl w:val="1"/>
          <w:numId w:val="4"/>
        </w:numPr>
        <w:rPr>
          <w:rFonts w:ascii="DejaVu Serif" w:hAnsi="DejaVu Serif"/>
        </w:rPr>
      </w:pPr>
      <w:bookmarkStart w:id="12" w:name="_Ref27050381"/>
      <w:r>
        <w:rPr>
          <w:rFonts w:ascii="DejaVu Serif" w:hAnsi="DejaVu Serif"/>
        </w:rPr>
        <w:t>Amendment to the GATS Security Instrument</w:t>
      </w:r>
      <w:bookmarkEnd w:id="12"/>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to the GATS Security Instrument is amended to reflect the legal name and other details of the New Secured Party as the ‘Secured Party’ as described in Schedule 2 (</w:t>
      </w:r>
      <w:r>
        <w:rPr>
          <w:rFonts w:ascii="DejaVu Serif" w:hAnsi="DejaVu Serif"/>
          <w:i/>
        </w:rPr>
        <w:t>Party Details</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Security Instrument to the Existing Secured Party or ‘Secured Party’ are amended to refer to the New Secured Party;</w:t>
      </w:r>
    </w:p>
    <w:p>
      <w:pPr>
        <w:pStyle w:val="AWGNumberedListAlt32C"/>
        <w:numPr>
          <w:ilvl w:val="3"/>
          <w:numId w:val="4"/>
        </w:numPr>
        <w:rPr/>
      </w:pPr>
      <w:r>
        <w:rPr>
          <w:rFonts w:ascii="DejaVu Serif" w:hAnsi="DejaVu Serif"/>
        </w:rPr>
        <w:t>schedule 4 (</w:t>
      </w:r>
      <w:r>
        <w:rPr>
          <w:rFonts w:ascii="DejaVu Serif" w:hAnsi="DejaVu Serif"/>
          <w:i/>
        </w:rPr>
        <w:t>Description of GATS Security Documents</w:t>
      </w:r>
      <w:r>
        <w:rPr>
          <w:rFonts w:ascii="DejaVu Serif" w:hAnsi="DejaVu Serif"/>
        </w:rPr>
        <w:t>) to the GATS Security Instrument is amended in accordance with Schedule 3 (</w:t>
      </w:r>
      <w:r>
        <w:rPr>
          <w:rFonts w:ascii="DejaVu Serif" w:hAnsi="DejaVu Serif"/>
          <w:i/>
        </w:rPr>
        <w:t>Amendments to Description of GATS Security Documents</w:t>
      </w:r>
      <w:r>
        <w:rPr>
          <w:rFonts w:ascii="DejaVu Serif" w:hAnsi="DejaVu Serif"/>
        </w:rPr>
        <w:t>); and</w:t>
      </w:r>
    </w:p>
    <w:p>
      <w:pPr>
        <w:pStyle w:val="AWGNumberedListAlt32C"/>
        <w:numPr>
          <w:ilvl w:val="3"/>
          <w:numId w:val="4"/>
        </w:numPr>
        <w:rPr/>
      </w:pPr>
      <w:r>
        <w:rPr>
          <w:rFonts w:ascii="DejaVu Serif" w:hAnsi="DejaVu Serif"/>
        </w:rPr>
        <w:t xml:space="preserve">the GATS Security Instrument is otherwise amended to reflect the transactions described in Sections </w:t>
      </w:r>
      <w:r>
        <w:rPr>
          <w:rFonts w:ascii="DejaVu Serif" w:hAnsi="DejaVu Serif"/>
        </w:rPr>
        <w:fldChar w:fldCharType="begin"/>
      </w:r>
      <w:r>
        <w:rPr>
          <w:rFonts w:ascii="DejaVu Serif" w:hAnsi="DejaVu Serif"/>
        </w:rPr>
        <w:instrText> REF _Ref528609441 \w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rFonts w:ascii="DejaVu Serif" w:hAnsi="DejaVu Serif"/>
        </w:rPr>
      </w:pPr>
      <w:r>
        <w:rPr>
          <w:rFonts w:ascii="DejaVu Serif" w:hAnsi="DejaVu Serif"/>
        </w:rPr>
        <w:t>Except as amended and supplemented by this Instrument, the GATS Security Instrument shall remain in full force and effect.</w:t>
      </w:r>
    </w:p>
    <w:p>
      <w:pPr>
        <w:pStyle w:val="AWGNumberedList12C"/>
        <w:numPr>
          <w:ilvl w:val="0"/>
          <w:numId w:val="4"/>
        </w:numPr>
        <w:rPr>
          <w:rFonts w:ascii="DejaVu Serif" w:hAnsi="DejaVu Serif"/>
        </w:rPr>
      </w:pPr>
      <w:r>
        <w:rPr>
          <w:rFonts w:ascii="DejaVu Serif" w:hAnsi="DejaVu Serif"/>
        </w:rPr>
        <w:t>Further Assurance</w:t>
      </w:r>
    </w:p>
    <w:p>
      <w:pPr>
        <w:pStyle w:val="AWGNumberedList22C"/>
        <w:numPr>
          <w:ilvl w:val="1"/>
          <w:numId w:val="4"/>
        </w:numPr>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pPr>
        <w:pStyle w:val="AWGNumberedList22C"/>
        <w:numPr>
          <w:ilvl w:val="1"/>
          <w:numId w:val="4"/>
        </w:numPr>
        <w:rPr>
          <w:rFonts w:ascii="DejaVu Serif" w:hAnsi="DejaVu Serif"/>
        </w:rPr>
      </w:pPr>
      <w:bookmarkStart w:id="13" w:name="_Hlk535259882"/>
      <w:r>
        <w:rPr>
          <w:rFonts w:ascii="DejaVu Serif" w:hAnsi="DejaVu Serif"/>
        </w:rPr>
        <w:t>Upon execution, an executed copy of this Instrument of this Instrument will be made available to the Beneficiary and the Trustee through the GATS Platform.</w:t>
      </w:r>
      <w:bookmarkEnd w:id="13"/>
    </w:p>
    <w:p>
      <w:pPr>
        <w:pStyle w:val="AWGNumberedList12C"/>
        <w:numPr>
          <w:ilvl w:val="0"/>
          <w:numId w:val="4"/>
        </w:numPr>
        <w:rPr>
          <w:rFonts w:ascii="DejaVu Serif" w:hAnsi="DejaVu Serif"/>
        </w:rPr>
      </w:pPr>
      <w:bookmarkStart w:id="14" w:name="_Toc525847197"/>
      <w:bookmarkStart w:id="15" w:name="_Ref526872824"/>
      <w:r>
        <w:rPr>
          <w:rFonts w:ascii="DejaVu Serif" w:hAnsi="DejaVu Serif"/>
        </w:rPr>
        <w:t>Miscellaneous</w:t>
      </w:r>
      <w:bookmarkEnd w:id="14"/>
      <w:bookmarkEnd w:id="15"/>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6"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6"/>
    </w:p>
    <w:p>
      <w:pPr>
        <w:pStyle w:val="AWGNumberedListAlt32C"/>
        <w:numPr>
          <w:ilvl w:val="3"/>
          <w:numId w:val="4"/>
        </w:numPr>
        <w:rPr/>
      </w:pPr>
      <w:bookmarkStart w:id="17" w:name="_Ref24458113"/>
      <w:bookmarkStart w:id="18" w:name="_Hlk25326583"/>
      <w:bookmarkEnd w:id="18"/>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7"/>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rPr>
        <w:t>Counterparts</w:t>
      </w:r>
    </w:p>
    <w:p>
      <w:pPr>
        <w:pStyle w:val="AWGBodyText12C"/>
        <w:rPr/>
      </w:pPr>
      <w:bookmarkStart w:id="19" w:name="_Hlk27048836"/>
      <w:r>
        <w:rPr>
          <w:rFonts w:ascii="DejaVu Serif" w:hAnsi="DejaVu Serif"/>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19"/>
    </w:p>
    <w:p>
      <w:pPr>
        <w:pStyle w:val="AWGNumberedList22C"/>
        <w:numPr>
          <w:ilvl w:val="1"/>
          <w:numId w:val="4"/>
        </w:numPr>
        <w:rPr>
          <w:rFonts w:ascii="DejaVu Serif" w:hAnsi="DejaVu Serif"/>
        </w:rPr>
      </w:pPr>
      <w:bookmarkStart w:id="20" w:name="_Toc525847208"/>
      <w:r>
        <w:rPr>
          <w:rFonts w:ascii="DejaVu Serif" w:hAnsi="DejaVu Serif"/>
        </w:rPr>
        <w:t>Governing Law</w:t>
      </w:r>
      <w:bookmarkEnd w:id="20"/>
    </w:p>
    <w:p>
      <w:pPr>
        <w:pStyle w:val="AWGBodyText12C"/>
        <w:rPr/>
      </w:pPr>
      <w:bookmarkStart w:id="21" w:name="_Hlk32395608"/>
      <w:r>
        <w:rPr>
          <w:rFonts w:ascii="DejaVu Serif" w:hAnsi="DejaVu Serif"/>
          <w:lang w:val="en-US"/>
        </w:rPr>
        <w:t>This Instrument and all non-contractual obligations arising out of or in connection with it will in all respects be governed by and construed in accordance with the laws of Singapore</w:t>
      </w:r>
      <w:bookmarkEnd w:id="21"/>
      <w:r>
        <w:rPr>
          <w:rFonts w:ascii="DejaVu Serif" w:hAnsi="DejaVu Serif"/>
        </w:rPr>
        <w:t>.</w:t>
      </w:r>
      <w:bookmarkEnd w:id="7"/>
    </w:p>
    <w:p>
      <w:pPr>
        <w:pStyle w:val="Normal"/>
        <w:rPr/>
      </w:pPr>
      <w:r>
        <w:rPr/>
      </w:r>
      <w:bookmarkStart w:id="22" w:name="_Hlk27052230"/>
      <w:bookmarkStart w:id="23" w:name="_Hlk27052230"/>
      <w:bookmarkEnd w:id="23"/>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Style w:val="TableGrid"/>
        <w:tblW w:w="9000" w:type="dxa"/>
        <w:jc w:val="left"/>
        <w:tblInd w:w="0" w:type="dxa"/>
        <w:tblCellMar>
          <w:top w:w="55" w:type="dxa"/>
          <w:left w:w="55" w:type="dxa"/>
          <w:bottom w:w="55" w:type="dxa"/>
          <w:right w:w="55" w:type="dxa"/>
        </w:tblCellMar>
        <w:tblLook w:val="04a0" w:noVBand="1" w:noHBand="0" w:lastColumn="0" w:firstColumn="1" w:lastRow="0" w:firstRow="1"/>
      </w:tblPr>
      <w:tblGrid>
        <w:gridCol w:w="1170"/>
        <w:gridCol w:w="171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r>
              <w:rPr>
                <w:b/>
                <w:color w:val="000000"/>
                <w:lang w:val="en-US"/>
              </w:rPr>
              <w:t>${securedParty.name}</w:t>
            </w:r>
            <w:r>
              <w:rPr>
                <w:color w:val="000000"/>
                <w:lang w:val="en-US"/>
              </w:rPr>
              <w:t>,</w:t>
            </w:r>
            <w:r>
              <w:rPr>
                <w:lang w:val="en-US"/>
              </w:rPr>
              <w:t xml:space="preserve"> </w:t>
            </w:r>
            <w:r>
              <w:rPr>
                <w:b w:val="false"/>
                <w:bCs w:val="false"/>
                <w:lang w:val="en-US"/>
              </w:rPr>
              <w:t>as Existing Secured Party, acting in the capacity as indicated in the GATS Security Instrument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pPr>
      <w:r>
        <w:rPr/>
      </w:r>
      <w:r>
        <w:br w:type="page"/>
      </w:r>
    </w:p>
    <w:p>
      <w:pPr>
        <w:pStyle w:val="Normal"/>
        <w:rPr>
          <w:rFonts w:ascii="DejaVu Serif" w:hAnsi="DejaVu Serif"/>
          <w:sz w:val="18"/>
          <w:szCs w:val="18"/>
        </w:rPr>
      </w:pPr>
      <w:r>
        <w:rPr>
          <w:rFonts w:ascii="DejaVu Serif" w:hAnsi="DejaVu Serif"/>
          <w:sz w:val="18"/>
          <w:szCs w:val="18"/>
        </w:rPr>
      </w:r>
    </w:p>
    <w:tbl>
      <w:tblPr>
        <w:tblStyle w:val="TableGrid"/>
        <w:tblW w:w="9000" w:type="dxa"/>
        <w:jc w:val="left"/>
        <w:tblInd w:w="0" w:type="dxa"/>
        <w:tblCellMar>
          <w:top w:w="55" w:type="dxa"/>
          <w:left w:w="55" w:type="dxa"/>
          <w:bottom w:w="55" w:type="dxa"/>
          <w:right w:w="55" w:type="dxa"/>
        </w:tblCellMar>
        <w:tblLook w:val="04a0" w:noVBand="1" w:noHBand="0" w:lastColumn="0" w:firstColumn="1" w:lastRow="0" w:firstRow="1"/>
      </w:tblPr>
      <w:tblGrid>
        <w:gridCol w:w="1170"/>
        <w:gridCol w:w="171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pPr>
            <w:r>
              <w:rPr>
                <w:b/>
                <w:color w:val="000000"/>
                <w:sz w:val="18"/>
                <w:szCs w:val="18"/>
                <w:lang w:val="en-US"/>
              </w:rPr>
              <w:t>${newSecuredParty.name}</w:t>
            </w:r>
            <w:r>
              <w:rPr>
                <w:sz w:val="18"/>
                <w:szCs w:val="18"/>
                <w:lang w:val="en-US"/>
              </w:rPr>
              <w:t xml:space="preserve">, </w:t>
            </w:r>
            <w:r>
              <w:rPr>
                <w:b w:val="false"/>
                <w:bCs w:val="false"/>
                <w:sz w:val="18"/>
                <w:szCs w:val="18"/>
                <w:lang w:val="en-US"/>
              </w:rPr>
              <w:t>as New Secured Party, acting in the capacity as indicated in Schedule 2 (</w:t>
            </w:r>
            <w:r>
              <w:rPr>
                <w:b w:val="false"/>
                <w:bCs w:val="false"/>
                <w:i/>
                <w:sz w:val="18"/>
                <w:szCs w:val="18"/>
                <w:lang w:val="en-US"/>
              </w:rPr>
              <w:t>Party Details</w:t>
            </w:r>
            <w:r>
              <w:rPr>
                <w:b w:val="false"/>
                <w:bCs w:val="false"/>
                <w:sz w:val="18"/>
                <w:szCs w:val="18"/>
                <w:lang w:val="en-US"/>
              </w:rPr>
              <w: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cantSplit w:val="true"/>
        </w:trPr>
        <w:tc>
          <w:tcPr>
            <w:tcW w:w="117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29" w:name="_Toc526435856"/>
      <w:r>
        <w:rPr/>
        <w:br/>
      </w:r>
      <w:bookmarkStart w:id="30" w:name="_Ref528695248"/>
      <w:bookmarkEnd w:id="29"/>
      <w:r>
        <w:rPr/>
        <w:t>Description of GATS Trust</w:t>
      </w:r>
      <w:bookmarkEnd w:id="30"/>
    </w:p>
    <w:tbl>
      <w:tblPr>
        <w:tblStyle w:val="TableGrid"/>
        <w:tblW w:w="9044" w:type="dxa"/>
        <w:jc w:val="left"/>
        <w:tblInd w:w="1"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2"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68"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2" w:name="_Ref29981004"/>
      <w:r>
        <w:rPr/>
        <w:t>Party Details</w:t>
      </w:r>
      <w:bookmarkEnd w:id="32"/>
    </w:p>
    <w:tbl>
      <w:tblPr>
        <w:tblStyle w:val="TableGrid"/>
        <w:tblW w:w="9044" w:type="dxa"/>
        <w:jc w:val="left"/>
        <w:tblInd w:w="1"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b/>
              </w:rPr>
              <w:t>1</w:t>
            </w:r>
          </w:p>
        </w:tc>
        <w:tc>
          <w:tcPr>
            <w:tcW w:w="3390" w:type="dxa"/>
            <w:tcBorders/>
            <w:shd w:fill="auto" w:val="clear"/>
          </w:tcPr>
          <w:p>
            <w:pPr>
              <w:pStyle w:val="AWGBodyText"/>
              <w:spacing w:lineRule="auto" w:line="240" w:before="0" w:after="0"/>
              <w:jc w:val="left"/>
              <w:rPr/>
            </w:pPr>
            <w:r>
              <w:rPr>
                <w:b/>
              </w:rPr>
              <w:t>Existing Secured Party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spacing w:lineRule="auto" w:line="240" w:before="0" w:after="0"/>
              <w:ind w:hanging="0"/>
              <w:jc w:val="left"/>
              <w:rPr/>
            </w:pPr>
            <w:r>
              <w:rPr>
                <w:b/>
                <w:lang w:val="en-US"/>
              </w:rPr>
              <w:t>2</w:t>
            </w:r>
          </w:p>
        </w:tc>
        <w:tc>
          <w:tcPr>
            <w:tcW w:w="3498" w:type="dxa"/>
            <w:tcBorders/>
            <w:shd w:fill="auto" w:val="clear"/>
          </w:tcPr>
          <w:p>
            <w:pPr>
              <w:pStyle w:val="AWGBodyText"/>
              <w:spacing w:lineRule="auto" w:line="240" w:before="0" w:after="0"/>
              <w:jc w:val="left"/>
              <w:rPr/>
            </w:pPr>
            <w:r>
              <w:rPr>
                <w:b/>
                <w:lang w:val="en-US"/>
              </w:rPr>
              <w:t>New Secured Party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${newSecuredParty.entityType}</w:t>
            </w:r>
          </w:p>
          <w:p>
            <w:pPr>
              <w:pStyle w:val="AWGBodyText"/>
              <w:spacing w:lineRule="auto" w:line="240" w:before="0" w:after="0"/>
              <w:jc w:val="left"/>
              <w:rPr>
                <w:rFonts w:ascii="DejaVu Serif" w:hAnsi="DejaVu Serif"/>
                <w:lang w:val="en-US"/>
              </w:rPr>
            </w:pPr>
            <w:r>
              <w:rPr>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lang w:val="en-US"/>
              </w:rPr>
              <w:t>Capacity:</w:t>
            </w:r>
          </w:p>
        </w:tc>
        <w:tc>
          <w:tcPr>
            <w:tcW w:w="5081"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${securedPartIsNotAgent}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in its individual capacity for its own account</w:t>
                  </w:r>
                </w:p>
              </w:tc>
            </w:tr>
          </w:tbl>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b/>
              </w:rPr>
              <w:t>3</w:t>
            </w:r>
          </w:p>
        </w:tc>
        <w:tc>
          <w:tcPr>
            <w:tcW w:w="3390" w:type="dxa"/>
            <w:tcBorders/>
            <w:shd w:fill="auto" w:val="clear"/>
          </w:tcPr>
          <w:p>
            <w:pPr>
              <w:pStyle w:val="AWGBodyText"/>
              <w:spacing w:lineRule="auto" w:line="240" w:before="0" w:after="0"/>
              <w:jc w:val="left"/>
              <w:rPr/>
            </w:pPr>
            <w:r>
              <w:rPr>
                <w:b/>
                <w:sz w:val="18"/>
                <w:lang w:val="en-GB"/>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4</w:t>
            </w:r>
          </w:p>
        </w:tc>
        <w:tc>
          <w:tcPr>
            <w:tcW w:w="3390" w:type="dxa"/>
            <w:tcBorders/>
            <w:shd w:fill="auto" w:val="clear"/>
          </w:tcPr>
          <w:p>
            <w:pPr>
              <w:pStyle w:val="AWGBodyText"/>
              <w:spacing w:lineRule="auto" w:line="240" w:before="0" w:after="0"/>
              <w:jc w:val="left"/>
              <w:rPr>
                <w:rFonts w:ascii="DejaVu Serif" w:hAnsi="DejaVu Serif"/>
              </w:rPr>
            </w:pPr>
            <w:r>
              <w:rPr>
                <w:b/>
                <w:sz w:val="18"/>
                <w:lang w:val="en-G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4" w:name="_Ref534645476"/>
      <w:r>
        <w:rPr/>
        <w:t xml:space="preserve">Amendments to Description of </w:t>
      </w:r>
      <w:bookmarkEnd w:id="34"/>
      <w:r>
        <w:rPr/>
        <w:t>GATS Security Documents</w:t>
      </w:r>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spacing w:before="120" w:after="120"/>
        <w:jc w:val="center"/>
        <w:rPr>
          <w:rFonts w:ascii="DejaVu Serif" w:hAnsi="DejaVu Serif"/>
        </w:rPr>
      </w:pPr>
      <w:r>
        <w:rPr>
          <w:sz w:val="18"/>
          <w:szCs w:val="18"/>
        </w:rPr>
        <w:t>START AMENDED TEXT</w:t>
      </w:r>
    </w:p>
    <w:p>
      <w:pPr>
        <w:pStyle w:val="AWGBodyText"/>
        <w:spacing w:before="120" w:after="120"/>
        <w:jc w:val="center"/>
        <w:rPr>
          <w:rFonts w:ascii="DejaVu Serif" w:hAnsi="DejaVu Serif"/>
          <w:sz w:val="18"/>
          <w:szCs w:val="18"/>
        </w:rPr>
      </w:pPr>
      <w:r>
        <w:rPr>
          <w:sz w:val="18"/>
          <w:szCs w:val="18"/>
        </w:rPr>
      </w:r>
    </w:p>
    <w:tbl>
      <w:tblPr>
        <w:tblStyle w:val="TableGrid"/>
        <w:tblW w:w="9027" w:type="dxa"/>
        <w:jc w:val="left"/>
        <w:tblInd w:w="0" w:type="dxa"/>
        <w:tblCellMar>
          <w:top w:w="58" w:type="dxa"/>
          <w:left w:w="115" w:type="dxa"/>
          <w:bottom w:w="58" w:type="dxa"/>
          <w:right w:w="115" w:type="dxa"/>
        </w:tblCellMar>
        <w:tblLook w:val="04a0" w:noVBand="1" w:noHBand="0" w:lastColumn="0" w:firstColumn="1" w:lastRow="0" w:firstRow="1"/>
      </w:tblPr>
      <w:tblGrid>
        <w:gridCol w:w="349"/>
        <w:gridCol w:w="2256"/>
        <w:gridCol w:w="6422"/>
      </w:tblGrid>
      <w:tr>
        <w:trPr/>
        <w:tc>
          <w:tcPr>
            <w:tcW w:w="349" w:type="dxa"/>
            <w:tcBorders>
              <w:bottom w:val="nil"/>
              <w:right w:val="nil"/>
            </w:tcBorders>
            <w:shd w:fill="auto" w:val="clear"/>
          </w:tcPr>
          <w:p>
            <w:pPr>
              <w:pStyle w:val="AWGBodyText"/>
              <w:numPr>
                <w:ilvl w:val="0"/>
                <w:numId w:val="5"/>
              </w:numPr>
              <w:spacing w:lineRule="auto" w:line="240" w:before="0" w:after="0"/>
              <w:jc w:val="left"/>
              <w:rPr>
                <w:rFonts w:ascii="DejaVu Serif" w:hAnsi="DejaVu Serif"/>
                <w:color w:val="000000"/>
                <w:sz w:val="18"/>
                <w:szCs w:val="18"/>
                <w:lang w:val="en-US"/>
              </w:rPr>
            </w:pPr>
            <w:commentRangeStart w:id="4"/>
            <w:r>
              <w:rPr>
                <w:color w:val="000000"/>
                <w:sz w:val="18"/>
                <w:szCs w:val="18"/>
                <w:lang w:val="en-US"/>
              </w:rPr>
            </w:r>
          </w:p>
        </w:tc>
        <w:tc>
          <w:tcPr>
            <w:tcW w:w="2256" w:type="dxa"/>
            <w:tcBorders>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c>
          <w:tcPr>
            <w:tcW w:w="6422" w:type="dxa"/>
            <w:tcBorders>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${name}</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56"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GATS Transaction ID:</w:t>
            </w:r>
          </w:p>
        </w:tc>
        <w:tc>
          <w:tcPr>
            <w:tcW w:w="642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GB"/>
              </w:rPr>
              <w:t>${transactionID}</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56"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Trust Branch:</w:t>
            </w:r>
          </w:p>
        </w:tc>
        <w:tc>
          <w:tcPr>
            <w:tcW w:w="6422" w:type="dxa"/>
            <w:tcBorders>
              <w:top w:val="nil"/>
              <w:bottom w:val="nil"/>
            </w:tcBorders>
            <w:shd w:fill="auto" w:val="cle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18"/>
                <w:lang w:val="en-US" w:eastAsia="ja-JP" w:bidi="ar-SA"/>
              </w:rPr>
              <w:t>Singapore (SG)</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56"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rPr>
              <w:t>GATS Form Version:</w:t>
            </w:r>
          </w:p>
        </w:tc>
        <w:tc>
          <w:tcPr>
            <w:tcW w:w="6422"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1.0</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56"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Effective Time:</w:t>
            </w:r>
          </w:p>
        </w:tc>
        <w:tc>
          <w:tcPr>
            <w:tcW w:w="6422"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w:t>
            </w:r>
            <w:bookmarkStart w:id="35" w:name="__DdeLink__1160_3275829521"/>
            <w:r>
              <w:rPr>
                <w:color w:val="000000"/>
                <w:sz w:val="18"/>
                <w:szCs w:val="18"/>
                <w:lang w:val="en-US"/>
              </w:rPr>
              <w:t>dateOrEffectiveTime</w:t>
            </w:r>
            <w:bookmarkEnd w:id="35"/>
            <w:r>
              <w:rPr>
                <w:color w:val="000000"/>
                <w:sz w:val="18"/>
                <w:szCs w:val="18"/>
                <w:lang w:val="en-US"/>
              </w:rPr>
              <w:t>}</w:t>
            </w:r>
          </w:p>
        </w:tc>
      </w:tr>
      <w:tr>
        <w:trPr/>
        <w:tc>
          <w:tcPr>
            <w:tcW w:w="349" w:type="dxa"/>
            <w:tcBorders>
              <w:top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56" w:type="dxa"/>
            <w:tcBorders>
              <w:top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tc>
        <w:tc>
          <w:tcPr>
            <w:tcW w:w="6422" w:type="dxa"/>
            <w:tcBorders>
              <w:top w:val="nil"/>
            </w:tcBorders>
            <w:shd w:fill="auto" w:val="clear"/>
          </w:tcPr>
          <w:p>
            <w:pPr>
              <w:pStyle w:val="AWGBodyText"/>
              <w:spacing w:lineRule="auto" w:line="240" w:before="0" w:after="120"/>
              <w:jc w:val="left"/>
              <w:rPr>
                <w:rFonts w:ascii="DejaVu Serif" w:hAnsi="DejaVu Serif"/>
              </w:rPr>
            </w:pPr>
            <w:r>
              <w:rPr>
                <w:color w:val="000000"/>
                <w:sz w:val="18"/>
                <w:szCs w:val="18"/>
                <w:lang w:val="en-US"/>
              </w:rPr>
              <w:t>${</w:t>
            </w:r>
            <w:bookmarkStart w:id="36" w:name="_Hlk271280811"/>
            <w:bookmarkEnd w:id="36"/>
            <w:r>
              <w:rPr>
                <w:color w:val="000000"/>
                <w:sz w:val="18"/>
                <w:szCs w:val="18"/>
                <w:lang w:val="en-US"/>
              </w:rPr>
              <w:t>parties}</w:t>
            </w:r>
            <w:commentRangeEnd w:id="4"/>
            <w:r>
              <w:commentReference w:id="4"/>
            </w:r>
            <w:r>
              <w:rPr>
                <w:color w:val="000000"/>
                <w:sz w:val="18"/>
                <w:szCs w:val="18"/>
                <w:lang w:val="en-US"/>
              </w:rPr>
            </w:r>
          </w:p>
        </w:tc>
      </w:tr>
    </w:tbl>
    <w:p>
      <w:pPr>
        <w:pStyle w:val="Normal"/>
        <w:spacing w:before="120" w:after="120"/>
        <w:jc w:val="center"/>
        <w:rPr>
          <w:rFonts w:ascii="DejaVu Serif" w:hAnsi="DejaVu Serif"/>
          <w:sz w:val="18"/>
          <w:szCs w:val="18"/>
        </w:rPr>
      </w:pPr>
      <w:r>
        <w:rPr>
          <w:rFonts w:ascii="DejaVu Serif" w:hAnsi="DejaVu Serif"/>
          <w:sz w:val="18"/>
          <w:szCs w:val="18"/>
        </w:rPr>
      </w:r>
    </w:p>
    <w:p>
      <w:pPr>
        <w:pStyle w:val="AWGBodyText"/>
        <w:spacing w:before="120" w:after="120"/>
        <w:jc w:val="center"/>
        <w:rPr>
          <w:rFonts w:ascii="DejaVu Serif" w:hAnsi="DejaVu Serif"/>
        </w:rPr>
      </w:pPr>
      <w:r>
        <w:rPr>
          <w:sz w:val="18"/>
          <w:szCs w:val="18"/>
        </w:rPr>
        <w:t>END AMENDED TEXT</w:t>
      </w:r>
    </w:p>
    <w:p>
      <w:pPr>
        <w:pStyle w:val="AWGBodyText"/>
        <w:spacing w:before="120" w:after="120"/>
        <w:jc w:val="center"/>
        <w:rPr/>
      </w:pPr>
      <w:r>
        <w:rPr/>
      </w:r>
    </w:p>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1:15: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3-18T11:17:1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(newSecuredParty.multiLayers)</w:t>
      </w:r>
    </w:p>
  </w:comment>
  <w:comment w:id="3"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(newSecuredPartySignatures)</w:t>
      </w:r>
    </w:p>
  </w:comment>
  <w:comment w:id="4" w:author="Unknown Author" w:date="2020-03-18T11:22:1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0"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bookmarkStart w:id="2" w:name="__DdeLink__945_3715140610121"/>
          <w:r>
            <w:rPr>
              <w:sz w:val="18"/>
              <w:szCs w:val="18"/>
            </w:rPr>
            <w:t>GATS Form Version:</w:t>
          </w:r>
          <w:bookmarkEnd w:id="2"/>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3" w:name="__DdeLink__945_37151406105"/>
          <w:r>
            <w:rPr>
              <w:sz w:val="18"/>
              <w:szCs w:val="18"/>
            </w:rPr>
            <w:t>GATS Form Version:</w:t>
          </w:r>
          <w:bookmarkEnd w:id="3"/>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bookmarkStart w:id="4" w:name="_GoBack"/>
    <w:bookmarkStart w:id="5" w:name="_GoBack"/>
    <w:bookmarkEnd w:id="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bookmarkStart w:id="24" w:name="__DdeLink__5214_382862828"/>
    <w:bookmarkStart w:id="25" w:name="__DdeLink__5214_382862828"/>
    <w:bookmarkEnd w:id="25"/>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0"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bookmarkStart w:id="26" w:name="__DdeLink__945_371514061012"/>
          <w:r>
            <w:rPr>
              <w:sz w:val="18"/>
              <w:szCs w:val="18"/>
            </w:rPr>
            <w:t>GATS Form Version:</w:t>
          </w:r>
          <w:bookmarkEnd w:id="26"/>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bookmarkStart w:id="27" w:name="__DdeLink__5214_3828628281"/>
    <w:bookmarkStart w:id="28" w:name="__DdeLink__5214_3828628281"/>
    <w:bookmarkEnd w:id="28"/>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0"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bookmarkStart w:id="31" w:name="__DdeLink__945_371514061011111"/>
          <w:r>
            <w:rPr>
              <w:sz w:val="18"/>
              <w:szCs w:val="18"/>
            </w:rPr>
            <w:t>GATS Form Version:</w:t>
          </w:r>
          <w:bookmarkEnd w:id="31"/>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0"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bookmarkStart w:id="33" w:name="__DdeLink__945_37151406101111"/>
          <w:r>
            <w:rPr>
              <w:sz w:val="18"/>
              <w:szCs w:val="18"/>
            </w:rPr>
            <w:t>GATS Form Version:</w:t>
          </w:r>
          <w:bookmarkEnd w:id="33"/>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0"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bookmarkStart w:id="37" w:name="__DdeLink__945_3715140610112"/>
          <w:r>
            <w:rPr>
              <w:sz w:val="18"/>
              <w:szCs w:val="18"/>
            </w:rPr>
            <w:t>GATS Form Version:</w:t>
          </w:r>
          <w:bookmarkEnd w:id="37"/>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sz w:val="18"/>
              <w:szCs w:val="18"/>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TRANSFER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-273050</wp:posOffset>
              </wp:positionV>
              <wp:extent cx="5751195" cy="1209675"/>
              <wp:effectExtent l="0" t="0" r="0" b="0"/>
              <wp:wrapNone/>
              <wp:docPr id="6" name="Shape1"/>
              <a:graphic xmlns:a="http://schemas.openxmlformats.org/drawingml/2006/main">
                <a:graphicData uri="http://schemas.microsoft.com/office/word/2010/wordprocessingShape">
                  <wps:wsp>
                    <wps:cNvSpPr/>
                    <wps:spPr>
                      <a:xfrm>
                        <a:off x="0" y="0"/>
                        <a:ext cx="57506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1.5pt;width:452.75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sz w:val="18"/>
              <w:szCs w:val="18"/>
            </w:rPr>
          </w:pPr>
          <w:r>
            <w:rPr>
              <w:sz w:val="18"/>
              <w:szCs w:val="18"/>
              <w:lang w:val="en-GB"/>
            </w:rPr>
            <w:t>GATS SECURITY TRANSFER INSTRUMENT (SG)</w:t>
          </w:r>
        </w:p>
      </w:tc>
    </w:tr>
    <w:tr>
      <w:trPr/>
      <w:tc>
        <w:tcPr>
          <w:tcW w:w="9044" w:type="dxa"/>
          <w:tcBorders>
            <w:top w:val="nil"/>
            <w:left w:val="nil"/>
            <w:bottom w:val="nil"/>
            <w:right w:val="nil"/>
          </w:tcBorders>
          <w:shd w:fill="auto" w:val="clear"/>
        </w:tcPr>
        <w:p>
          <w:pPr>
            <w:pStyle w:val="Header"/>
            <w:spacing w:lineRule="auto" w:line="240" w:before="0" w:after="0"/>
            <w:jc w:val="right"/>
            <w:rPr>
              <w:sz w:val="18"/>
              <w:szCs w:val="18"/>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50fc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50fc4"/>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50fc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751fd2"/>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50fc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50fc4"/>
    <w:pPr/>
    <w:rPr>
      <w:b/>
      <w:caps/>
    </w:rPr>
  </w:style>
  <w:style w:type="paragraph" w:styleId="AWGNumberedList22C" w:customStyle="1">
    <w:name w:val="AWG Numbered List 2 (2C)"/>
    <w:basedOn w:val="AWGBodyText12C"/>
    <w:next w:val="AWGBodyText12C"/>
    <w:qFormat/>
    <w:rsid w:val="00d50fc4"/>
    <w:pPr/>
    <w:rPr/>
  </w:style>
  <w:style w:type="paragraph" w:styleId="AWGNumberedListAlt32C" w:customStyle="1">
    <w:name w:val="AWG Numbered List Alt 3 (2C)"/>
    <w:basedOn w:val="AWGNumberedList22C"/>
    <w:next w:val="AWGBodyText12C"/>
    <w:qFormat/>
    <w:rsid w:val="00d50fc4"/>
    <w:pPr/>
    <w:rPr/>
  </w:style>
  <w:style w:type="paragraph" w:styleId="AWGNumberedList32C" w:customStyle="1">
    <w:name w:val="AWG Numbered List 3 (2C)"/>
    <w:basedOn w:val="Normal"/>
    <w:next w:val="Normal"/>
    <w:qFormat/>
    <w:rsid w:val="00d50fc4"/>
    <w:pPr>
      <w:spacing w:lineRule="auto" w:line="240"/>
      <w:jc w:val="both"/>
    </w:pPr>
    <w:rPr>
      <w:sz w:val="18"/>
      <w:lang w:val="en-GB"/>
    </w:rPr>
  </w:style>
  <w:style w:type="paragraph" w:styleId="AWGNumberedList42C" w:customStyle="1">
    <w:name w:val="AWG Numbered List 4 (2C)"/>
    <w:basedOn w:val="Normal"/>
    <w:next w:val="Normal"/>
    <w:qFormat/>
    <w:rsid w:val="00d50fc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50fc4"/>
    <w:pPr>
      <w:spacing w:lineRule="auto" w:line="240"/>
      <w:jc w:val="both"/>
    </w:pPr>
    <w:rPr>
      <w:sz w:val="18"/>
      <w:lang w:val="en-GB"/>
    </w:rPr>
  </w:style>
  <w:style w:type="paragraph" w:styleId="AWGNumberedListAlt42C" w:customStyle="1">
    <w:name w:val="AWG Numbered List Alt 4 (2C)"/>
    <w:basedOn w:val="AWGNumberedList32C"/>
    <w:next w:val="Normal"/>
    <w:qFormat/>
    <w:rsid w:val="00d50fc4"/>
    <w:pPr/>
    <w:rPr/>
  </w:style>
  <w:style w:type="paragraph" w:styleId="AWGDef2C" w:customStyle="1">
    <w:name w:val="AWG Def (2C)"/>
    <w:basedOn w:val="AWGBodyText2C"/>
    <w:qFormat/>
    <w:rsid w:val="00d50fc4"/>
    <w:pPr/>
    <w:rPr/>
  </w:style>
  <w:style w:type="paragraph" w:styleId="AWGDefPara2C" w:customStyle="1">
    <w:name w:val="AWG Def Para (2C)"/>
    <w:basedOn w:val="AWGBodyText12C"/>
    <w:qFormat/>
    <w:rsid w:val="00d50fc4"/>
    <w:pPr/>
    <w:rPr/>
  </w:style>
  <w:style w:type="paragraph" w:styleId="AWGNumberedList52C" w:customStyle="1">
    <w:name w:val="AWG Numbered List 5 (2C)"/>
    <w:basedOn w:val="Normal"/>
    <w:qFormat/>
    <w:rsid w:val="00d50fc4"/>
    <w:pPr>
      <w:spacing w:lineRule="auto" w:line="240"/>
      <w:jc w:val="both"/>
    </w:pPr>
    <w:rPr>
      <w:sz w:val="18"/>
      <w:lang w:val="en-GB"/>
    </w:rPr>
  </w:style>
  <w:style w:type="paragraph" w:styleId="AWGNumberedListAlt52C" w:customStyle="1">
    <w:name w:val="AWG Numbered List Alt 5 (2C)"/>
    <w:basedOn w:val="Normal"/>
    <w:qFormat/>
    <w:rsid w:val="00d50fc4"/>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8A00-6148-4D04-9E78-0E6521B4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LibreOffice/6.4.3.2$MacOSX_X86_64 LibreOffice_project/747b5d0ebf89f41c860ec2a39efd7cb15b54f2d8</Application>
  <Pages>11</Pages>
  <Words>1955</Words>
  <Characters>11134</Characters>
  <CharactersWithSpaces>12867</CharactersWithSpaces>
  <Paragraphs>202</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2020-02-27T12:32:00Z</dcterms:created>
  <dc:creator>Pearson, Dominic</dc:creator>
  <dc:description/>
  <dc:language>en-US</dc:language>
  <cp:lastModifiedBy/>
  <cp:lastPrinted>2018-03-23T14:20:00Z</cp:lastPrinted>
  <dcterms:modified xsi:type="dcterms:W3CDTF">2020-10-02T15:52:13Z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