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196"/>
        <w:gridCol w:w="6159"/>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lang w:val="en-US"/>
              </w:rPr>
              <mc:AlternateContent>
                <mc:Choice Requires="wps">
                  <w:drawing>
                    <wp:anchor behindDoc="1" distT="0" distB="0" distL="0" distR="0" simplePos="0" locked="0" layoutInCell="1" allowOverlap="1" relativeHeight="3">
                      <wp:simplePos x="0" y="0"/>
                      <wp:positionH relativeFrom="column">
                        <wp:posOffset>-70485</wp:posOffset>
                      </wp:positionH>
                      <wp:positionV relativeFrom="paragraph">
                        <wp:posOffset>-639445</wp:posOffset>
                      </wp:positionV>
                      <wp:extent cx="5954395" cy="1239520"/>
                      <wp:effectExtent l="0" t="0" r="0" b="0"/>
                      <wp:wrapNone/>
                      <wp:docPr id="1" name="Shape1"/>
                      <a:graphic xmlns:a="http://schemas.openxmlformats.org/drawingml/2006/main">
                        <a:graphicData uri="http://schemas.microsoft.com/office/word/2010/wordprocessingShape">
                          <wps:wsp>
                            <wps:cNvSpPr/>
                            <wps:spPr>
                              <a:xfrm>
                                <a:off x="0" y="0"/>
                                <a:ext cx="595368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color w:val="000000"/>
                                      <w:sz w:val="16"/>
                                      <w:szCs w:val="16"/>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55pt;margin-top:-50.35pt;width:468.7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color w:val="000000"/>
                                <w:sz w:val="16"/>
                                <w:szCs w:val="16"/>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sz w:val="20"/>
                <w:szCs w:val="20"/>
              </w:rPr>
            </w:pPr>
            <w:r>
              <w:rPr>
                <w:sz w:val="20"/>
                <w:szCs w:val="20"/>
              </w:rPr>
            </w:r>
          </w:p>
          <w:p>
            <w:pPr>
              <w:pStyle w:val="AWGBodyText"/>
              <w:spacing w:lineRule="auto" w:line="240" w:before="0" w:after="0"/>
              <w:jc w:val="center"/>
              <w:rPr>
                <w:sz w:val="20"/>
                <w:szCs w:val="20"/>
              </w:rPr>
            </w:pPr>
            <w:r>
              <w:rPr>
                <w:sz w:val="20"/>
                <w:szCs w:val="20"/>
              </w:rPr>
            </w:r>
          </w:p>
          <w:p>
            <w:pPr>
              <w:pStyle w:val="AWGBodyText"/>
              <w:spacing w:lineRule="auto" w:line="240" w:before="0" w:after="0"/>
              <w:jc w:val="center"/>
              <w:rPr>
                <w:b/>
                <w:b/>
                <w:color w:val="000000" w:themeColor="text1"/>
                <w:lang w:val="en-US"/>
              </w:rPr>
            </w:pPr>
            <w:r>
              <w:rPr>
                <w:b/>
                <w:color w:val="000000" w:themeColor="text1"/>
                <w:lang w:val="en-US"/>
              </w:rPr>
            </w:r>
          </w:p>
          <w:p>
            <w:pPr>
              <w:pStyle w:val="AWGBodyText"/>
              <w:spacing w:lineRule="auto" w:line="240" w:before="0" w:after="0"/>
              <w:jc w:val="center"/>
              <w:rPr>
                <w:b/>
                <w:b/>
                <w:color w:val="000000" w:themeColor="text1"/>
                <w:lang w:val="en-US"/>
              </w:rPr>
            </w:pPr>
            <w:r>
              <w:rPr>
                <w:b/>
                <w:color w:val="000000" w:themeColor="text1"/>
                <w:lang w:val="en-US"/>
              </w:rPr>
              <w:drawing>
                <wp:anchor behindDoc="0" distT="0" distB="0" distL="0" distR="0" simplePos="0" locked="0" layoutInCell="1" allowOverlap="1" relativeHeight="4">
                  <wp:simplePos x="0" y="0"/>
                  <wp:positionH relativeFrom="column">
                    <wp:posOffset>1783715</wp:posOffset>
                  </wp:positionH>
                  <wp:positionV relativeFrom="paragraph">
                    <wp:posOffset>107950</wp:posOffset>
                  </wp:positionV>
                  <wp:extent cx="2171700" cy="1007745"/>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anchor>
              </w:drawing>
            </w:r>
          </w:p>
          <w:p>
            <w:pPr>
              <w:pStyle w:val="AWGBodyText"/>
              <w:spacing w:lineRule="auto" w:line="240" w:before="0" w:after="0"/>
              <w:jc w:val="center"/>
              <w:rPr>
                <w:b/>
                <w:b/>
                <w:color w:val="000000" w:themeColor="text1"/>
                <w:lang w:val="en-US"/>
              </w:rPr>
            </w:pPr>
            <w:r>
              <w:rPr>
                <w:b/>
                <w:color w:val="000000" w:themeColor="text1"/>
                <w:lang w:val="en-US"/>
              </w:rPr>
            </w:r>
          </w:p>
          <w:p>
            <w:pPr>
              <w:pStyle w:val="AWGBodyText"/>
              <w:spacing w:lineRule="auto" w:line="240" w:before="0" w:after="0"/>
              <w:jc w:val="center"/>
              <w:rPr>
                <w:b/>
                <w:b/>
                <w:color w:val="000000" w:themeColor="text1"/>
                <w:lang w:val="en-US"/>
              </w:rPr>
            </w:pPr>
            <w:r>
              <w:rPr>
                <w:b/>
                <w:color w:val="000000" w:themeColor="text1"/>
                <w:lang w:val="en-US"/>
              </w:rPr>
              <mc:AlternateContent>
                <mc:Choice Requires="wps">
                  <w:drawing>
                    <wp:anchor behindDoc="0" distT="0" distB="0" distL="0" distR="0" simplePos="0" locked="0" layoutInCell="1" allowOverlap="1" relativeHeight="2" wp14:anchorId="4AE2B000">
                      <wp:simplePos x="0" y="0"/>
                      <wp:positionH relativeFrom="column">
                        <wp:posOffset>3954780</wp:posOffset>
                      </wp:positionH>
                      <wp:positionV relativeFrom="paragraph">
                        <wp:posOffset>76200</wp:posOffset>
                      </wp:positionV>
                      <wp:extent cx="262255" cy="186055"/>
                      <wp:effectExtent l="0" t="0" r="9525" b="9525"/>
                      <wp:wrapNone/>
                      <wp:docPr id="4" name="Text Box 3"/>
                      <a:graphic xmlns:a="http://schemas.openxmlformats.org/drawingml/2006/main">
                        <a:graphicData uri="http://schemas.microsoft.com/office/word/2010/wordprocessingShape">
                          <wps:wsp>
                            <wps:cNvSpPr/>
                            <wps:spPr>
                              <a:xfrm>
                                <a:off x="0" y="0"/>
                                <a:ext cx="261720" cy="1854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1.4pt;margin-top:6pt;width:20.55pt;height:14.5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p>
            <w:pPr>
              <w:pStyle w:val="AWGBodyText"/>
              <w:spacing w:lineRule="auto" w:line="240" w:before="0" w:after="0"/>
              <w:jc w:val="center"/>
              <w:rPr>
                <w:b/>
                <w:b/>
                <w:color w:val="000000" w:themeColor="text1"/>
                <w:lang w:val="en-US"/>
              </w:rPr>
            </w:pPr>
            <w:r>
              <w:rPr>
                <w:b/>
                <w:color w:val="000000" w:themeColor="text1"/>
                <w:lang w:val="en-US"/>
              </w:rPr>
            </w:r>
          </w:p>
          <w:p>
            <w:pPr>
              <w:pStyle w:val="AWGBodyText"/>
              <w:spacing w:lineRule="auto" w:line="240" w:before="0" w:after="0"/>
              <w:jc w:val="center"/>
              <w:rPr>
                <w:b/>
                <w:b/>
                <w:color w:val="000000" w:themeColor="text1"/>
                <w:lang w:val="en-US"/>
              </w:rPr>
            </w:pPr>
            <w:r>
              <w:rPr>
                <w:b/>
                <w:color w:val="000000" w:themeColor="text1"/>
                <w:lang w:val="en-US"/>
              </w:rPr>
            </w:r>
          </w:p>
          <w:p>
            <w:pPr>
              <w:pStyle w:val="AWGBodyText"/>
              <w:spacing w:lineRule="auto" w:line="240" w:before="0" w:after="0"/>
              <w:jc w:val="center"/>
              <w:rPr>
                <w:b/>
                <w:b/>
                <w:color w:val="000000" w:themeColor="text1"/>
                <w:lang w:val="en-US"/>
              </w:rPr>
            </w:pPr>
            <w:r>
              <w:rPr>
                <w:b/>
                <w:color w:val="000000" w:themeColor="text1"/>
                <w:lang w:val="en-US"/>
              </w:rPr>
            </w:r>
          </w:p>
          <w:p>
            <w:pPr>
              <w:pStyle w:val="AWGBodyText"/>
              <w:spacing w:lineRule="auto" w:line="240" w:before="0" w:after="0"/>
              <w:jc w:val="center"/>
              <w:rPr>
                <w:b/>
                <w:b/>
                <w:color w:val="000000" w:themeColor="text1"/>
                <w:lang w:val="en-US"/>
              </w:rPr>
            </w:pPr>
            <w:r>
              <w:rPr>
                <w:b/>
                <w:color w:val="000000" w:themeColor="text1"/>
                <w:lang w:val="en-US"/>
              </w:rPr>
            </w:r>
          </w:p>
          <w:p>
            <w:pPr>
              <w:pStyle w:val="AWGBodyText"/>
              <w:spacing w:lineRule="auto" w:line="240" w:before="0" w:after="0"/>
              <w:jc w:val="center"/>
              <w:rPr>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Security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196"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lang w:val="en-US"/>
              </w:rPr>
              <w:t>Trust Branch:</w:t>
            </w:r>
          </w:p>
        </w:tc>
        <w:tc>
          <w:tcPr>
            <w:tcW w:w="6159" w:type="dxa"/>
            <w:tcBorders>
              <w:top w:val="nil"/>
              <w:bottom w:val="nil"/>
              <w:right w:val="nil"/>
            </w:tcBorders>
            <w:shd w:fill="auto" w:val="clear"/>
          </w:tcPr>
          <w:p>
            <w:pPr>
              <w:pStyle w:val="AWGBodyText"/>
              <w:spacing w:lineRule="auto" w:line="240" w:before="0" w:after="0"/>
              <w:rPr/>
            </w:pPr>
            <w:r>
              <w:rPr>
                <w:color w:val="000000"/>
                <w:lang w:val="en-US"/>
              </w:rPr>
              <w:t>United States (</w:t>
            </w:r>
            <w:r>
              <w:rPr>
                <w:rFonts w:eastAsia="Calibri" w:cs=""/>
                <w:color w:val="000000"/>
                <w:kern w:val="0"/>
                <w:sz w:val="18"/>
                <w:szCs w:val="20"/>
                <w:lang w:val="en-US" w:eastAsia="ja-JP" w:bidi="ar-SA"/>
              </w:rPr>
              <w:t>US</w:t>
            </w:r>
            <w:r>
              <w:rPr>
                <w:color w:val="000000"/>
                <w:lang w:val="en-US"/>
              </w:rPr>
              <w:t>)</w:t>
            </w:r>
          </w:p>
        </w:tc>
      </w:tr>
      <w:tr>
        <w:trPr/>
        <w:tc>
          <w:tcPr>
            <w:tcW w:w="3196"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lang w:val="en-US"/>
              </w:rPr>
              <w:t>Trust UIN:</w:t>
            </w:r>
          </w:p>
        </w:tc>
        <w:tc>
          <w:tcPr>
            <w:tcW w:w="6159" w:type="dxa"/>
            <w:tcBorders>
              <w:top w:val="nil"/>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w:t>
            </w:r>
            <w:r>
              <w:rPr>
                <w:rFonts w:eastAsia="Calibri" w:cs=""/>
                <w:color w:val="000000"/>
                <w:kern w:val="0"/>
                <w:sz w:val="18"/>
                <w:szCs w:val="20"/>
                <w:lang w:val="en-US" w:eastAsia="ja-JP" w:bidi="ar-SA"/>
              </w:rPr>
              <w:t>uin</w:t>
            </w:r>
            <w:r>
              <w:rPr>
                <w:color w:val="000000"/>
                <w:sz w:val="18"/>
                <w:lang w:val="en-US"/>
              </w:rPr>
              <w:t>}</w:t>
            </w:r>
          </w:p>
        </w:tc>
      </w:tr>
      <w:tr>
        <w:trPr/>
        <w:tc>
          <w:tcPr>
            <w:tcW w:w="3196"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lang w:val="en-US"/>
              </w:rPr>
              <w:t>Name of Trust:</w:t>
            </w:r>
          </w:p>
        </w:tc>
        <w:tc>
          <w:tcPr>
            <w:tcW w:w="6159" w:type="dxa"/>
            <w:tcBorders>
              <w:top w:val="nil"/>
              <w:bottom w:val="nil"/>
              <w:right w:val="nil"/>
            </w:tcBorders>
            <w:shd w:fill="auto" w:val="clear"/>
          </w:tcPr>
          <w:p>
            <w:pPr>
              <w:pStyle w:val="AWGBodyText"/>
              <w:spacing w:lineRule="auto" w:line="240" w:before="0" w:after="0"/>
              <w:rPr>
                <w:rFonts w:ascii="DejaVu Serif" w:hAnsi="DejaVu Serif"/>
              </w:rPr>
            </w:pPr>
            <w:bookmarkStart w:id="0" w:name="__DdeLink__1129_618392884"/>
            <w:r>
              <w:rPr>
                <w:color w:val="000000"/>
                <w:lang w:val="en-US"/>
              </w:rPr>
              <w:t>${trust.name}</w:t>
            </w:r>
            <w:bookmarkEnd w:id="0"/>
          </w:p>
        </w:tc>
      </w:tr>
      <w:tr>
        <w:trPr/>
        <w:tc>
          <w:tcPr>
            <w:tcW w:w="3196"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lang w:val="en-US"/>
              </w:rPr>
              <w:t>Effective Time:</w:t>
            </w:r>
          </w:p>
        </w:tc>
        <w:tc>
          <w:tcPr>
            <w:tcW w:w="6159" w:type="dxa"/>
            <w:tcBorders>
              <w:top w:val="nil"/>
              <w:bottom w:val="nil"/>
              <w:right w:val="nil"/>
            </w:tcBorders>
            <w:shd w:fill="auto" w:val="clear"/>
          </w:tcPr>
          <w:p>
            <w:pPr>
              <w:pStyle w:val="AWGBodyText"/>
              <w:spacing w:lineRule="auto" w:line="240" w:before="0" w:after="0"/>
              <w:rPr>
                <w:rFonts w:ascii="DejaVu Serif" w:hAnsi="DejaVu Serif"/>
              </w:rPr>
            </w:pPr>
            <w:r>
              <w:rPr>
                <w:color w:val="FFFFFF"/>
                <w:lang w:val="en-US"/>
              </w:rPr>
              <w:t>${sealSignature}</w:t>
            </w:r>
          </w:p>
        </w:tc>
      </w:tr>
      <w:tr>
        <w:trPr/>
        <w:tc>
          <w:tcPr>
            <w:tcW w:w="3196"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6159"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bookmarkStart w:id="1" w:name="_GoBack"/>
            <w:bookmarkStart w:id="2" w:name="_GoBack"/>
            <w:bookmarkEnd w:id="2"/>
          </w:p>
        </w:tc>
      </w:tr>
    </w:tbl>
    <w:p>
      <w:pPr>
        <w:pStyle w:val="AWGBodyText"/>
        <w:spacing w:before="0" w:after="183"/>
        <w:rPr>
          <w:rFonts w:ascii="DejaVu Serif" w:hAnsi="DejaVu Serif"/>
          <w:b/>
          <w:b/>
          <w:lang w:val="en-US"/>
        </w:rPr>
      </w:pPr>
      <w:r>
        <w:rPr>
          <w:b/>
          <w:lang w:val="en-US"/>
        </w:rPr>
      </w:r>
    </w:p>
    <w:p>
      <w:pPr>
        <w:pStyle w:val="AWGBodyText"/>
        <w:rPr>
          <w:lang w:val="en-US"/>
        </w:rPr>
      </w:pPr>
      <w:r>
        <w:rPr>
          <w:b/>
          <w:lang w:val="en-US"/>
        </w:rPr>
        <w:t xml:space="preserve">THIS GATS SECURITY TRANSFER INSTRUMENT </w:t>
      </w:r>
      <w:r>
        <w:rPr>
          <w:lang w:val="en-US"/>
        </w:rPr>
        <w:t xml:space="preserve">is dated as of </w:t>
      </w:r>
      <w:bookmarkStart w:id="3" w:name="_Hlk27051095"/>
      <w:r>
        <w:rPr/>
        <w:t>the date on which the Effective Time occurred</w:t>
      </w:r>
      <w:bookmarkEnd w:id="3"/>
      <w:r>
        <w:rPr/>
        <w:t xml:space="preserve"> </w:t>
      </w:r>
      <w:r>
        <w:rPr>
          <w:lang w:val="en-US"/>
        </w:rPr>
        <w:t xml:space="preserve">(this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the EXISTING SECURED PARTY from time to time, as amended from time to time prior to the effectiveness of this Instrument; and</w:t>
      </w:r>
    </w:p>
    <w:p>
      <w:pPr>
        <w:pStyle w:val="AWGParties"/>
        <w:numPr>
          <w:ilvl w:val="0"/>
          <w:numId w:val="1"/>
        </w:numPr>
        <w:rPr/>
      </w:pPr>
      <w:r>
        <w:rPr>
          <w:lang w:val="en-US"/>
        </w:rPr>
        <w:t xml:space="preserve">the NEW SECURED PARTY from time to time, acting in the capacity as indicated in </w:t>
      </w:r>
      <w:bookmarkStart w:id="4" w:name="__DdeLink__975_487486490"/>
      <w:r>
        <w:rPr>
          <w:lang w:val="en-US"/>
        </w:rPr>
        <w:t>Schedule</w:t>
      </w:r>
      <w:bookmarkEnd w:id="4"/>
      <w:r>
        <w:rPr>
          <w:lang w:val="en-US"/>
        </w:rPr>
        <w:t xml:space="preserve"> 2 (</w:t>
      </w:r>
      <w:r>
        <w:rPr>
          <w:i/>
          <w:lang w:val="en-US"/>
        </w:rPr>
        <w:t>Party Details</w:t>
      </w:r>
      <w:r>
        <w:rPr>
          <w:lang w:val="en-US"/>
        </w:rPr>
        <w:t>).</w:t>
      </w:r>
    </w:p>
    <w:p>
      <w:pPr>
        <w:pStyle w:val="AWGParties"/>
        <w:numPr>
          <w:ilvl w:val="0"/>
          <w:numId w:val="0"/>
        </w:numPr>
        <w:spacing w:before="57" w:after="57"/>
        <w:ind w:left="720" w:hanging="720"/>
        <w:rPr/>
      </w:pPr>
      <w:r>
        <w:rPr>
          <w:b/>
          <w:lang w:val="en-US"/>
        </w:rPr>
        <w:t>IT IS AGREED AS FOLLOWS</w:t>
      </w:r>
      <w:r>
        <w:rPr>
          <w:lang w:val="en-US"/>
        </w:rPr>
        <w:t>:</w:t>
      </w:r>
    </w:p>
    <w:p>
      <w:pPr>
        <w:pStyle w:val="Normal"/>
        <w:rPr/>
      </w:pPr>
      <w:r>
        <w:rPr/>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9" w:name="_Toc525847168"/>
      <w:r>
        <w:rPr>
          <w:rFonts w:ascii="DejaVu Serif" w:hAnsi="DejaVu Serif"/>
        </w:rPr>
        <w:t>Definition</w:t>
      </w:r>
      <w:bookmarkEnd w:id="9"/>
      <w:r>
        <w:rPr>
          <w:rFonts w:ascii="DejaVu Serif" w:hAnsi="DejaVu Serif"/>
        </w:rPr>
        <w:t>s</w:t>
      </w:r>
    </w:p>
    <w:p>
      <w:pPr>
        <w:pStyle w:val="AWGBodyText2C"/>
        <w:numPr>
          <w:ilvl w:val="0"/>
          <w:numId w:val="0"/>
        </w:numPr>
        <w:ind w:left="454" w:hanging="0"/>
        <w:rPr>
          <w:rFonts w:ascii="DejaVu Serif" w:hAnsi="DejaVu Serif"/>
        </w:rPr>
      </w:pPr>
      <w:r>
        <w:rPr>
          <w:rFonts w:ascii="DejaVu Serif" w:hAnsi="DejaVu Serif"/>
        </w:rPr>
        <w:t>Unless otherwise defined in this Instrument, capitalized terms used in this Instrument have the meaning given to them in the GATS Security Instrument (including those incorporated by reference to the Master Terms). In this Instrument, unless the contrary intention appears:</w:t>
      </w:r>
    </w:p>
    <w:p>
      <w:pPr>
        <w:pStyle w:val="AWGDef2C"/>
        <w:numPr>
          <w:ilvl w:val="0"/>
          <w:numId w:val="0"/>
        </w:numPr>
        <w:ind w:left="454" w:hanging="0"/>
        <w:rPr/>
      </w:pPr>
      <w:r>
        <w:rPr>
          <w:rFonts w:ascii="DejaVu Serif" w:hAnsi="DejaVu Serif"/>
          <w:b/>
          <w:lang w:val="en-US"/>
        </w:rPr>
        <w:t xml:space="preserve">Beneficiary </w:t>
      </w:r>
      <w:r>
        <w:rPr>
          <w:rFonts w:ascii="DejaVu Serif" w:hAnsi="DejaVu Serif"/>
        </w:rPr>
        <w:t>means</w:t>
      </w:r>
      <w:r>
        <w:rPr>
          <w:rFonts w:ascii="DejaVu Serif" w:hAnsi="DejaVu Serif"/>
          <w:lang w:val="en-US"/>
        </w:rPr>
        <w:t xml:space="preserve"> the person identified as the ‘Beneficiary’ in Schedule 2 (</w:t>
      </w:r>
      <w:r>
        <w:rPr>
          <w:rFonts w:ascii="DejaVu Serif" w:hAnsi="DejaVu Serif"/>
          <w:i/>
          <w:lang w:val="en-US"/>
        </w:rPr>
        <w:t>Party Details</w:t>
      </w:r>
      <w:r>
        <w:rPr>
          <w:rFonts w:ascii="DejaVu Serif" w:hAnsi="DejaVu Serif"/>
          <w:lang w:val="en-US"/>
        </w:rPr>
        <w:t>).</w:t>
      </w:r>
    </w:p>
    <w:p>
      <w:pPr>
        <w:pStyle w:val="AWGDef2C"/>
        <w:numPr>
          <w:ilvl w:val="0"/>
          <w:numId w:val="0"/>
        </w:numPr>
        <w:ind w:left="454" w:hanging="0"/>
        <w:rPr>
          <w:rFonts w:ascii="DejaVu Serif" w:hAnsi="DejaVu Serif"/>
        </w:rPr>
      </w:pPr>
      <w:r>
        <w:rPr>
          <w:rFonts w:ascii="DejaVu Serif" w:hAnsi="DejaVu Serif"/>
          <w:b/>
        </w:rPr>
        <w:t>Effective Time</w:t>
      </w:r>
      <w:r>
        <w:rPr>
          <w:rFonts w:ascii="DejaVu Serif" w:hAnsi="DejaVu Serif"/>
        </w:rPr>
        <w:t xml:space="preserve"> means </w:t>
      </w:r>
      <w:r>
        <w:rPr>
          <w:rFonts w:ascii="DejaVu Serif" w:hAnsi="DejaVu Serif"/>
          <w:lang w:val="en-US"/>
        </w:rPr>
        <w:t>date and time as of which this Instrument is executed and delivered</w:t>
      </w:r>
      <w:r>
        <w:rPr>
          <w:rFonts w:ascii="DejaVu Serif" w:hAnsi="DejaVu Serif"/>
        </w:rPr>
        <w:t>, as described on the cover page of this Instrument.</w:t>
      </w:r>
      <w:bookmarkStart w:id="10" w:name="_Hlk535259818"/>
      <w:bookmarkEnd w:id="10"/>
    </w:p>
    <w:p>
      <w:pPr>
        <w:pStyle w:val="AWGDef2C"/>
        <w:numPr>
          <w:ilvl w:val="0"/>
          <w:numId w:val="0"/>
        </w:numPr>
        <w:ind w:left="454" w:hanging="0"/>
        <w:rPr/>
      </w:pPr>
      <w:r>
        <w:rPr>
          <w:rFonts w:ascii="DejaVu Serif" w:hAnsi="DejaVu Serif"/>
          <w:b/>
        </w:rPr>
        <w:t>Existing Secured Party</w:t>
      </w:r>
      <w:r>
        <w:rPr>
          <w:rFonts w:ascii="DejaVu Serif" w:hAnsi="DejaVu Serif"/>
        </w:rPr>
        <w:t xml:space="preserve"> means the person identified as the ‘Existing Secured Party’ in </w:t>
      </w:r>
      <w:r>
        <w:rPr>
          <w:rFonts w:ascii="DejaVu Serif" w:hAnsi="DejaVu Serif"/>
          <w:lang w:val="en-US"/>
        </w:rPr>
        <w:t>Schedule 2</w:t>
      </w:r>
      <w:r>
        <w:rPr>
          <w:rFonts w:ascii="DejaVu Serif" w:hAnsi="DejaVu Serif"/>
        </w:rPr>
        <w:t xml:space="preserve"> (</w:t>
      </w:r>
      <w:r>
        <w:rPr>
          <w:rFonts w:ascii="DejaVu Serif" w:hAnsi="DejaVu Serif"/>
          <w:i/>
        </w:rPr>
        <w:t>Party Details</w:t>
      </w:r>
      <w:r>
        <w:rPr>
          <w:rFonts w:ascii="DejaVu Serif" w:hAnsi="DejaVu Serif"/>
        </w:rPr>
        <w:t xml:space="preserve">), </w:t>
      </w:r>
      <w:r>
        <w:rPr>
          <w:rFonts w:ascii="DejaVu Serif" w:hAnsi="DejaVu Serif"/>
          <w:lang w:val="en-US"/>
        </w:rPr>
        <w:t>acting in the capacity as indicated in the GATS Security Instrument</w:t>
      </w:r>
      <w:r>
        <w:rPr>
          <w:rFonts w:ascii="DejaVu Serif" w:hAnsi="DejaVu Serif"/>
        </w:rPr>
        <w:t>.</w:t>
      </w:r>
    </w:p>
    <w:p>
      <w:pPr>
        <w:pStyle w:val="AWGDef2C"/>
        <w:numPr>
          <w:ilvl w:val="0"/>
          <w:numId w:val="0"/>
        </w:numPr>
        <w:ind w:left="454" w:hanging="0"/>
        <w:rPr/>
      </w:pPr>
      <w:r>
        <w:rPr>
          <w:rFonts w:ascii="DejaVu Serif" w:hAnsi="DejaVu Serif"/>
          <w:b/>
          <w:lang w:val="en-US"/>
        </w:rPr>
        <w:t xml:space="preserve">GATS Security Instrument </w:t>
      </w:r>
      <w:r>
        <w:rPr>
          <w:rFonts w:ascii="DejaVu Serif" w:hAnsi="DejaVu Serif"/>
          <w:lang w:val="en-US"/>
        </w:rPr>
        <w:t xml:space="preserve">means the GATS Security Instrument </w:t>
      </w:r>
      <w:r>
        <w:rPr>
          <w:rFonts w:ascii="DejaVu Serif" w:hAnsi="DejaVu Serif"/>
        </w:rPr>
        <w:t>relating</w:t>
      </w:r>
      <w:r>
        <w:rPr>
          <w:rFonts w:ascii="DejaVu Serif" w:hAnsi="DejaVu Serif"/>
          <w:lang w:val="en-US"/>
        </w:rPr>
        <w:t xml:space="preserve"> to the GATS Trust among the Beneficiary, the Existing Secured Party and the Trustee, as amended, supplemented, assigned and transferred from time to time prior to the effectiveness of this Instrument pursuant to one or more other GATS Security Documents (other than this Instrument) each of which is more particularly described in Schedule 3 (</w:t>
      </w:r>
      <w:r>
        <w:rPr>
          <w:rFonts w:ascii="DejaVu Serif" w:hAnsi="DejaVu Serif"/>
          <w:i/>
          <w:lang w:val="en-US"/>
        </w:rPr>
        <w:t>Amendments to Description of GATS Security Documents</w:t>
      </w:r>
      <w:r>
        <w:rPr>
          <w:rFonts w:ascii="DejaVu Serif" w:hAnsi="DejaVu Serif"/>
          <w:lang w:val="en-US"/>
        </w:rPr>
        <w:t>).</w:t>
      </w:r>
    </w:p>
    <w:p>
      <w:pPr>
        <w:pStyle w:val="AWGDef2C"/>
        <w:numPr>
          <w:ilvl w:val="0"/>
          <w:numId w:val="0"/>
        </w:numPr>
        <w:ind w:left="454" w:hanging="0"/>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0"/>
        </w:numPr>
        <w:ind w:left="454" w:hanging="0"/>
        <w:rPr/>
      </w:pPr>
      <w:r>
        <w:rPr>
          <w:rFonts w:ascii="DejaVu Serif" w:hAnsi="DejaVu Serif"/>
          <w:b/>
        </w:rPr>
        <w:t>New Secured Party</w:t>
      </w:r>
      <w:r>
        <w:rPr>
          <w:rFonts w:ascii="DejaVu Serif" w:hAnsi="DejaVu Serif"/>
        </w:rPr>
        <w:t xml:space="preserve"> means the person identified as the ‘New Secured Party’ in </w:t>
      </w:r>
      <w:r>
        <w:rPr>
          <w:rFonts w:ascii="DejaVu Serif" w:hAnsi="DejaVu Serif"/>
          <w:lang w:val="en-US"/>
        </w:rPr>
        <w:t>Schedule 2</w:t>
      </w:r>
      <w:r>
        <w:rPr>
          <w:rFonts w:ascii="DejaVu Serif" w:hAnsi="DejaVu Serif"/>
        </w:rPr>
        <w:t xml:space="preserve"> (</w:t>
      </w:r>
      <w:r>
        <w:rPr>
          <w:rFonts w:ascii="DejaVu Serif" w:hAnsi="DejaVu Serif"/>
          <w:i/>
        </w:rPr>
        <w:t>Party Details</w:t>
      </w:r>
      <w:r>
        <w:rPr>
          <w:rFonts w:ascii="DejaVu Serif" w:hAnsi="DejaVu Serif"/>
        </w:rPr>
        <w:t xml:space="preserve">), </w:t>
      </w:r>
      <w:r>
        <w:rPr>
          <w:rFonts w:ascii="DejaVu Serif" w:hAnsi="DejaVu Serif"/>
          <w:lang w:val="en-US"/>
        </w:rPr>
        <w:t>acting in the capacity as indicated in such Schedule</w:t>
      </w:r>
      <w:r>
        <w:rPr>
          <w:rFonts w:ascii="DejaVu Serif" w:hAnsi="DejaVu Serif"/>
        </w:rPr>
        <w:t>.</w:t>
      </w:r>
    </w:p>
    <w:p>
      <w:pPr>
        <w:pStyle w:val="AWGDef2C"/>
        <w:numPr>
          <w:ilvl w:val="0"/>
          <w:numId w:val="0"/>
        </w:numPr>
        <w:ind w:left="454" w:hanging="0"/>
        <w:rPr>
          <w:rFonts w:ascii="DejaVu Serif" w:hAnsi="DejaVu Serif"/>
        </w:rPr>
      </w:pPr>
      <w:r>
        <w:rPr>
          <w:rFonts w:ascii="DejaVu Serif" w:hAnsi="DejaVu Serif"/>
          <w:b/>
          <w:color w:val="000000" w:themeColor="text1"/>
        </w:rPr>
        <w:t>Retained Obligations</w:t>
      </w:r>
      <w:r>
        <w:rPr>
          <w:rFonts w:ascii="DejaVu Serif" w:hAnsi="DejaVu Serif"/>
          <w:color w:val="000000" w:themeColor="text1"/>
        </w:rPr>
        <w:t xml:space="preserve"> a</w:t>
      </w:r>
      <w:r>
        <w:rPr>
          <w:rFonts w:ascii="DejaVu Serif" w:hAnsi="DejaVu Serif"/>
        </w:rPr>
        <w:t>ll of the Existing Secured Party’s obligations, duties and liabilities under the GATS Security Documents, excluding the Transferred Obligations.</w:t>
      </w:r>
    </w:p>
    <w:p>
      <w:pPr>
        <w:pStyle w:val="AWGDef2C"/>
        <w:numPr>
          <w:ilvl w:val="0"/>
          <w:numId w:val="0"/>
        </w:numPr>
        <w:ind w:left="454" w:hanging="0"/>
        <w:rPr>
          <w:rFonts w:ascii="DejaVu Serif" w:hAnsi="DejaVu Serif"/>
        </w:rPr>
      </w:pPr>
      <w:r>
        <w:rPr>
          <w:rFonts w:ascii="DejaVu Serif" w:hAnsi="DejaVu Serif"/>
          <w:b/>
          <w:color w:val="000000" w:themeColor="text1"/>
        </w:rPr>
        <w:t xml:space="preserve">Retained Rights </w:t>
      </w:r>
      <w:r>
        <w:rPr>
          <w:rFonts w:ascii="DejaVu Serif" w:hAnsi="DejaVu Serif"/>
          <w:color w:val="000000" w:themeColor="text1"/>
        </w:rPr>
        <w:t>a</w:t>
      </w:r>
      <w:r>
        <w:rPr>
          <w:rFonts w:ascii="DejaVu Serif" w:hAnsi="DejaVu Serif"/>
        </w:rPr>
        <w:t>ll of the Existing Secured Party’s right, title and interest in, to and under the GATS Security Documents, excluding the Transferred Security Interest and the Transferred Rights.</w:t>
      </w:r>
    </w:p>
    <w:p>
      <w:pPr>
        <w:pStyle w:val="AWGDef2C"/>
        <w:numPr>
          <w:ilvl w:val="0"/>
          <w:numId w:val="0"/>
        </w:numPr>
        <w:ind w:left="454" w:hanging="0"/>
        <w:rPr/>
      </w:pPr>
      <w:r>
        <w:rPr>
          <w:rFonts w:ascii="DejaVu Serif" w:hAnsi="DejaVu Serif"/>
          <w:b/>
          <w:color w:val="000000" w:themeColor="text1"/>
        </w:rPr>
        <w:t>Transferred Obligations</w:t>
      </w:r>
      <w:r>
        <w:rPr>
          <w:rFonts w:ascii="DejaVu Serif" w:hAnsi="DejaVu Serif"/>
          <w:color w:val="000000" w:themeColor="text1"/>
        </w:rPr>
        <w:t xml:space="preserve"> </w:t>
      </w:r>
      <w:r>
        <w:rPr>
          <w:rFonts w:ascii="DejaVu Serif" w:hAnsi="DejaVu Serif"/>
        </w:rPr>
        <w:t xml:space="preserve">means, </w:t>
      </w:r>
      <w:bookmarkStart w:id="11" w:name="_Hlk26970161"/>
      <w:r>
        <w:rPr>
          <w:rFonts w:ascii="DejaVu Serif" w:hAnsi="DejaVu Serif"/>
        </w:rPr>
        <w:t xml:space="preserve">after giving effect to the amendments referred to in Section </w:t>
      </w:r>
      <w:bookmarkEnd w:id="11"/>
      <w:r>
        <w:rPr>
          <w:rFonts w:ascii="DejaVu Serif" w:hAnsi="DejaVu Serif"/>
        </w:rPr>
        <w:fldChar w:fldCharType="begin"/>
      </w:r>
      <w:r>
        <w:rPr>
          <w:rFonts w:ascii="DejaVu Serif" w:hAnsi="DejaVu Serif"/>
        </w:rPr>
        <w:instrText> REF _Ref27050381 \r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r>
        <w:rPr>
          <w:rFonts w:ascii="DejaVu Serif" w:hAnsi="DejaVu Serif"/>
          <w:color w:val="000000" w:themeColor="text1"/>
        </w:rPr>
        <w:t>a</w:t>
      </w:r>
      <w:r>
        <w:rPr>
          <w:rFonts w:ascii="DejaVu Serif" w:hAnsi="DejaVu Serif"/>
        </w:rPr>
        <w:t xml:space="preserve">ll of the Existing Secured Party’s obligations, duties and liabilities under the GATS Security Documents arising during or </w:t>
      </w:r>
      <w:r>
        <w:rPr>
          <w:rFonts w:ascii="DejaVu Serif" w:hAnsi="DejaVu Serif"/>
          <w:lang w:val="en-US"/>
        </w:rPr>
        <w:t xml:space="preserve">required to be performed during </w:t>
      </w:r>
      <w:r>
        <w:rPr>
          <w:rFonts w:ascii="DejaVu Serif" w:hAnsi="DejaVu Serif"/>
        </w:rPr>
        <w:t>any period after the Effective Time.</w:t>
      </w:r>
    </w:p>
    <w:p>
      <w:pPr>
        <w:pStyle w:val="AWGDef2C"/>
        <w:numPr>
          <w:ilvl w:val="0"/>
          <w:numId w:val="0"/>
        </w:numPr>
        <w:ind w:left="454" w:hanging="0"/>
        <w:rPr/>
      </w:pPr>
      <w:r>
        <w:rPr>
          <w:rFonts w:ascii="DejaVu Serif" w:hAnsi="DejaVu Serif"/>
          <w:b/>
          <w:color w:val="000000" w:themeColor="text1"/>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_Ref27050381 \r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w:t>
      </w:r>
      <w:r>
        <w:rPr>
          <w:rFonts w:ascii="DejaVu Serif" w:hAnsi="DejaVu Serif"/>
          <w:color w:val="000000" w:themeColor="text1"/>
        </w:rPr>
        <w:t xml:space="preserve"> a</w:t>
      </w:r>
      <w:r>
        <w:rPr>
          <w:rFonts w:ascii="DejaVu Serif" w:hAnsi="DejaVu Serif"/>
        </w:rPr>
        <w:t xml:space="preserve">ll of the Existing Secured Party’s right, title and interest in, to and under the GATS Security Documents arising during or </w:t>
      </w:r>
      <w:r>
        <w:rPr>
          <w:rFonts w:ascii="DejaVu Serif" w:hAnsi="DejaVu Serif"/>
          <w:lang w:val="en-US"/>
        </w:rPr>
        <w:t xml:space="preserve">required to be performed during </w:t>
      </w:r>
      <w:r>
        <w:rPr>
          <w:rFonts w:ascii="DejaVu Serif" w:hAnsi="DejaVu Serif"/>
        </w:rPr>
        <w:t>any period after the Effective Time.</w:t>
      </w:r>
    </w:p>
    <w:p>
      <w:pPr>
        <w:pStyle w:val="AWGDef2C"/>
        <w:numPr>
          <w:ilvl w:val="0"/>
          <w:numId w:val="0"/>
        </w:numPr>
        <w:ind w:left="454" w:hanging="0"/>
        <w:rPr>
          <w:rFonts w:ascii="DejaVu Serif" w:hAnsi="DejaVu Serif"/>
        </w:rPr>
      </w:pPr>
      <w:r>
        <w:rPr>
          <w:rFonts w:ascii="DejaVu Serif" w:hAnsi="DejaVu Serif"/>
          <w:b/>
        </w:rPr>
        <w:t>Transferred Security Interest</w:t>
      </w:r>
      <w:r>
        <w:rPr>
          <w:rFonts w:ascii="DejaVu Serif" w:hAnsi="DejaVu Serif"/>
        </w:rPr>
        <w:t xml:space="preserve"> means all of the Security Interest granted to the Existing Secured Party (or assigned and transferred to it, as applicable) prior to the effectiveness of this Instrument pursuant to the GATS Security Instrument.</w:t>
      </w:r>
    </w:p>
    <w:p>
      <w:pPr>
        <w:pStyle w:val="AWGDef2C"/>
        <w:numPr>
          <w:ilvl w:val="0"/>
          <w:numId w:val="0"/>
        </w:numPr>
        <w:ind w:left="454" w:hanging="0"/>
        <w:rPr/>
      </w:pPr>
      <w:r>
        <w:rPr>
          <w:rFonts w:ascii="DejaVu Serif" w:hAnsi="DejaVu Serif"/>
          <w:b/>
          <w:lang w:val="en-US"/>
        </w:rPr>
        <w:t>Trustee</w:t>
      </w:r>
      <w:r>
        <w:rPr>
          <w:rFonts w:ascii="DejaVu Serif" w:hAnsi="DejaVu Serif"/>
          <w:lang w:val="en-US"/>
        </w:rPr>
        <w:t xml:space="preserve"> means the person </w:t>
      </w:r>
      <w:r>
        <w:rPr>
          <w:rFonts w:ascii="DejaVu Serif" w:hAnsi="DejaVu Serif"/>
        </w:rPr>
        <w:t>identified</w:t>
      </w:r>
      <w:r>
        <w:rPr>
          <w:rFonts w:ascii="DejaVu Serif" w:hAnsi="DejaVu Serif"/>
          <w:lang w:val="en-US"/>
        </w:rPr>
        <w:t xml:space="preserve"> as the ‘Trustee’ in Schedule 2 (</w:t>
      </w:r>
      <w:r>
        <w:rPr>
          <w:rFonts w:ascii="DejaVu Serif" w:hAnsi="DejaVu Serif"/>
          <w:i/>
          <w:lang w:val="en-US"/>
        </w:rPr>
        <w:t>Party Details</w:t>
      </w:r>
      <w:r>
        <w:rPr>
          <w:rFonts w:ascii="DejaVu Serif" w:hAnsi="DejaVu Serif"/>
          <w:lang w:val="en-US"/>
        </w:rPr>
        <w:t>).</w:t>
      </w:r>
    </w:p>
    <w:p>
      <w:pPr>
        <w:pStyle w:val="AWGDef2C"/>
        <w:numPr>
          <w:ilvl w:val="0"/>
          <w:numId w:val="0"/>
        </w:numPr>
        <w:ind w:left="454" w:hanging="0"/>
        <w:rPr>
          <w:rFonts w:ascii="DejaVu Serif" w:hAnsi="DejaVu Serif"/>
        </w:rPr>
      </w:pPr>
      <w:r>
        <w:rPr>
          <w:rFonts w:ascii="DejaVu Serif" w:hAnsi="DejaVu Serif"/>
          <w:b/>
        </w:rPr>
        <w:t>UIN</w:t>
      </w:r>
      <w:r>
        <w:rPr>
          <w:rFonts w:ascii="DejaVu Serif" w:hAnsi="DejaVu Serif"/>
        </w:rPr>
        <w:t xml:space="preserve"> means the unique identification number assigned to the GATS Trust by the Global Aircraft Trading System</w:t>
      </w:r>
      <w:r>
        <w:rPr>
          <w:rFonts w:eastAsia="Calibri" w:cs=""/>
          <w:b/>
          <w:color w:val="000000"/>
          <w:kern w:val="0"/>
          <w:sz w:val="24"/>
          <w:szCs w:val="24"/>
          <w:vertAlign w:val="superscript"/>
          <w:lang w:val="en-GB" w:eastAsia="ja-JP" w:bidi="ar-SA"/>
        </w:rPr>
        <w:t>®</w:t>
      </w:r>
      <w:r>
        <w:rPr>
          <w:rFonts w:ascii="DejaVu Serif" w:hAnsi="DejaVu Serif"/>
        </w:rPr>
        <w:t>.</w:t>
      </w:r>
    </w:p>
    <w:p>
      <w:pPr>
        <w:pStyle w:val="AWGNumberedList12C"/>
        <w:numPr>
          <w:ilvl w:val="0"/>
          <w:numId w:val="4"/>
        </w:numPr>
        <w:rPr>
          <w:rFonts w:ascii="DejaVu Serif" w:hAnsi="DejaVu Serif"/>
        </w:rPr>
      </w:pPr>
      <w:r>
        <w:rPr>
          <w:rFonts w:ascii="DejaVu Serif" w:hAnsi="DejaVu Serif"/>
          <w:lang w:val="en-US"/>
        </w:rPr>
        <w:t xml:space="preserve">Assignment and </w:t>
      </w:r>
      <w:r>
        <w:rPr>
          <w:rFonts w:ascii="DejaVu Serif" w:hAnsi="DejaVu Serif"/>
        </w:rPr>
        <w:t>Transfer</w:t>
      </w:r>
    </w:p>
    <w:p>
      <w:pPr>
        <w:pStyle w:val="AWGNumberedList22C"/>
        <w:numPr>
          <w:ilvl w:val="1"/>
          <w:numId w:val="4"/>
        </w:numPr>
        <w:rPr>
          <w:rFonts w:ascii="DejaVu Serif" w:hAnsi="DejaVu Serif"/>
        </w:rPr>
      </w:pPr>
      <w:bookmarkStart w:id="12" w:name="_Ref528609441"/>
      <w:r>
        <w:rPr>
          <w:rFonts w:ascii="DejaVu Serif" w:hAnsi="DejaVu Serif"/>
          <w:lang w:val="en-US"/>
        </w:rPr>
        <w:t xml:space="preserve">Assignment and Transfer of Security </w:t>
      </w:r>
      <w:r>
        <w:rPr>
          <w:rFonts w:ascii="DejaVu Serif" w:hAnsi="DejaVu Serif"/>
        </w:rPr>
        <w:t>Interest</w:t>
      </w:r>
      <w:bookmarkEnd w:id="12"/>
    </w:p>
    <w:p>
      <w:pPr>
        <w:pStyle w:val="AWGBodyText12C"/>
        <w:numPr>
          <w:ilvl w:val="0"/>
          <w:numId w:val="0"/>
        </w:numPr>
        <w:ind w:left="908" w:hanging="0"/>
        <w:rPr>
          <w:rFonts w:ascii="DejaVu Serif" w:hAnsi="DejaVu Serif"/>
        </w:rPr>
      </w:pPr>
      <w:r>
        <w:rPr>
          <w:rFonts w:ascii="DejaVu Serif" w:hAnsi="DejaVu Serif"/>
        </w:rPr>
        <w:t>With effect from the Effective Time, the Existing Secured Party assigns and transfers to the New Secured Party all of its right, title and interest in and to the Transferred Security Interest, and the New Secured Party accepts such assignment and transfer. Except as otherwise expressly provided in any other document to which the Existing Secured Party is a party, the Transferred Security Interest is assigned and transferred to the New Secured Party pursuant to this Instrument “AS IS” and “WHERE IS”.</w:t>
      </w:r>
    </w:p>
    <w:p>
      <w:pPr>
        <w:pStyle w:val="AWGNumberedList22C"/>
        <w:numPr>
          <w:ilvl w:val="1"/>
          <w:numId w:val="4"/>
        </w:numPr>
        <w:rPr>
          <w:rFonts w:ascii="DejaVu Serif" w:hAnsi="DejaVu Serif"/>
        </w:rPr>
      </w:pPr>
      <w:r>
        <w:rPr>
          <w:rFonts w:ascii="DejaVu Serif" w:hAnsi="DejaVu Serif"/>
          <w:lang w:val="en-US"/>
        </w:rPr>
        <w:t xml:space="preserve">Assignment and Transfer of Rights and </w:t>
      </w:r>
      <w:r>
        <w:rPr>
          <w:rFonts w:ascii="DejaVu Serif" w:hAnsi="DejaVu Serif"/>
        </w:rPr>
        <w:t>Obligations</w:t>
      </w:r>
      <w:r>
        <w:rPr>
          <w:rFonts w:ascii="DejaVu Serif" w:hAnsi="DejaVu Serif"/>
          <w:lang w:val="en-US"/>
        </w:rPr>
        <w:t xml:space="preserve"> under GATS Security Instrument</w:t>
      </w:r>
    </w:p>
    <w:p>
      <w:pPr>
        <w:pStyle w:val="AWGBodyText12C"/>
        <w:numPr>
          <w:ilvl w:val="0"/>
          <w:numId w:val="0"/>
        </w:numPr>
        <w:ind w:left="908" w:hanging="0"/>
        <w:rPr>
          <w:rFonts w:ascii="DejaVu Serif" w:hAnsi="DejaVu Serif"/>
        </w:rPr>
      </w:pPr>
      <w:r>
        <w:rPr>
          <w:rFonts w:ascii="DejaVu Serif" w:hAnsi="DejaVu Serif"/>
          <w:lang w:val="en-US"/>
        </w:rPr>
        <w:t xml:space="preserve">With effect </w:t>
      </w:r>
      <w:r>
        <w:rPr>
          <w:rFonts w:ascii="DejaVu Serif" w:hAnsi="DejaVu Serif"/>
        </w:rPr>
        <w:t>from</w:t>
      </w:r>
      <w:r>
        <w:rPr>
          <w:rFonts w:ascii="DejaVu Serif" w:hAnsi="DejaVu Serif"/>
          <w:lang w:val="en-US"/>
        </w:rPr>
        <w:t xml:space="preserve"> the Effective Time:</w:t>
      </w:r>
    </w:p>
    <w:p>
      <w:pPr>
        <w:pStyle w:val="AWGNumberedListAlt32C"/>
        <w:numPr>
          <w:ilvl w:val="3"/>
          <w:numId w:val="4"/>
        </w:numPr>
        <w:rPr>
          <w:rFonts w:ascii="DejaVu Serif" w:hAnsi="DejaVu Serif"/>
        </w:rPr>
      </w:pPr>
      <w:r>
        <w:rPr>
          <w:rFonts w:ascii="DejaVu Serif" w:hAnsi="DejaVu Serif"/>
          <w:lang w:val="en-US"/>
        </w:rPr>
        <w:t xml:space="preserve">the Existing Secured Party assigns and transfers all of its Transferred Rights and all of its Transferred Obligations to the New Secured Party, and agrees that it is no </w:t>
      </w:r>
      <w:r>
        <w:rPr>
          <w:rFonts w:ascii="DejaVu Serif" w:hAnsi="DejaVu Serif"/>
        </w:rPr>
        <w:t>longer</w:t>
      </w:r>
      <w:r>
        <w:rPr>
          <w:rFonts w:ascii="DejaVu Serif" w:hAnsi="DejaVu Serif"/>
          <w:lang w:val="en-US"/>
        </w:rPr>
        <w:t xml:space="preserve"> entitled to the benefit of any of its Transferred Rights;</w:t>
      </w:r>
    </w:p>
    <w:p>
      <w:pPr>
        <w:pStyle w:val="AWGNumberedListAlt32C"/>
        <w:numPr>
          <w:ilvl w:val="3"/>
          <w:numId w:val="4"/>
        </w:numPr>
        <w:rPr>
          <w:rFonts w:ascii="DejaVu Serif" w:hAnsi="DejaVu Serif"/>
        </w:rPr>
      </w:pPr>
      <w:r>
        <w:rPr>
          <w:rFonts w:ascii="DejaVu Serif" w:hAnsi="DejaVu Serif"/>
          <w:lang w:val="en-US"/>
        </w:rPr>
        <w:t>the New Secured Party accepts such assignment and transfer, and agrees to perform its Transferred Obligations as the ‘Secured Party’ under the GATS Security Instrument;</w:t>
      </w:r>
    </w:p>
    <w:p>
      <w:pPr>
        <w:pStyle w:val="AWGNumberedListAlt32C"/>
        <w:numPr>
          <w:ilvl w:val="3"/>
          <w:numId w:val="4"/>
        </w:numPr>
        <w:rPr>
          <w:rFonts w:ascii="DejaVu Serif" w:hAnsi="DejaVu Serif"/>
        </w:rPr>
      </w:pPr>
      <w:r>
        <w:rPr>
          <w:rFonts w:ascii="DejaVu Serif" w:hAnsi="DejaVu Serif"/>
        </w:rPr>
        <w:t>each of the Beneficiary and the Trustee, by operation of its agreement and consent pursuant to section 7.3 in the Master Terms:</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Secured Party;</w:t>
      </w:r>
    </w:p>
    <w:p>
      <w:pPr>
        <w:pStyle w:val="AWGNumberedListAlt42C"/>
        <w:numPr>
          <w:ilvl w:val="5"/>
          <w:numId w:val="4"/>
        </w:numPr>
        <w:rPr>
          <w:rFonts w:ascii="DejaVu Serif" w:hAnsi="DejaVu Serif"/>
        </w:rPr>
      </w:pPr>
      <w:r>
        <w:rPr>
          <w:rFonts w:ascii="DejaVu Serif" w:hAnsi="DejaVu Serif"/>
        </w:rPr>
        <w:t>releases the Existing Secured Party from all of the Transferred Obligations;</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in favour of the New Secured Party; and</w:t>
      </w:r>
    </w:p>
    <w:p>
      <w:pPr>
        <w:pStyle w:val="AWGNumberedListAlt42C"/>
        <w:numPr>
          <w:ilvl w:val="5"/>
          <w:numId w:val="4"/>
        </w:numPr>
        <w:rPr>
          <w:rFonts w:ascii="DejaVu Serif" w:hAnsi="DejaVu Serif"/>
        </w:rPr>
      </w:pPr>
      <w:r>
        <w:rPr>
          <w:rFonts w:ascii="DejaVu Serif" w:hAnsi="DejaVu Serif"/>
        </w:rPr>
        <w:t>agrees that it has been notified of the assignment and transfer of the Transferred Security Interest, the Transferred Rights and the Transferred Obligations effected by this Instrument.</w:t>
      </w:r>
    </w:p>
    <w:p>
      <w:pPr>
        <w:pStyle w:val="AWGNumberedList22C"/>
        <w:numPr>
          <w:ilvl w:val="1"/>
          <w:numId w:val="4"/>
        </w:numPr>
        <w:rPr>
          <w:rFonts w:ascii="DejaVu Serif" w:hAnsi="DejaVu Serif"/>
        </w:rPr>
      </w:pPr>
      <w:bookmarkStart w:id="13" w:name="_Ref526151655"/>
      <w:r>
        <w:rPr>
          <w:rFonts w:ascii="DejaVu Serif" w:hAnsi="DejaVu Serif"/>
          <w:lang w:val="en-US"/>
        </w:rPr>
        <w:t>Retained Rights and Retained Obligations</w:t>
      </w:r>
      <w:bookmarkEnd w:id="13"/>
    </w:p>
    <w:p>
      <w:pPr>
        <w:pStyle w:val="AWGBodyText12C"/>
        <w:numPr>
          <w:ilvl w:val="0"/>
          <w:numId w:val="0"/>
        </w:numPr>
        <w:ind w:left="908" w:hanging="0"/>
        <w:rPr>
          <w:rFonts w:ascii="DejaVu Serif" w:hAnsi="DejaVu Serif"/>
        </w:rPr>
      </w:pPr>
      <w:r>
        <w:rPr>
          <w:rFonts w:ascii="DejaVu Serif" w:hAnsi="DejaVu Serif"/>
        </w:rPr>
        <w:t xml:space="preserve">The Existing Secured Party shall remain entitled to its Retained </w:t>
      </w:r>
      <w:r>
        <w:rPr>
          <w:rFonts w:ascii="DejaVu Serif" w:hAnsi="DejaVu Serif"/>
          <w:lang w:val="en-US"/>
        </w:rPr>
        <w:t>Rights</w:t>
      </w:r>
      <w:r>
        <w:rPr>
          <w:rFonts w:ascii="DejaVu Serif" w:hAnsi="DejaVu Serif"/>
        </w:rPr>
        <w:t xml:space="preserve"> and shall remain bound to perform its Retained Obligations, as if it had remained the ‘Secured Party’ under the GATS Security Instrument.</w:t>
      </w:r>
    </w:p>
    <w:p>
      <w:pPr>
        <w:pStyle w:val="AWGNumberedList22C"/>
        <w:numPr>
          <w:ilvl w:val="1"/>
          <w:numId w:val="4"/>
        </w:numPr>
        <w:rPr>
          <w:rFonts w:ascii="DejaVu Serif" w:hAnsi="DejaVu Serif"/>
        </w:rPr>
      </w:pPr>
      <w:bookmarkStart w:id="14" w:name="_Ref27050381"/>
      <w:r>
        <w:rPr>
          <w:rFonts w:ascii="DejaVu Serif" w:hAnsi="DejaVu Serif"/>
        </w:rPr>
        <w:t>Amendment</w:t>
      </w:r>
      <w:r>
        <w:rPr>
          <w:rFonts w:ascii="DejaVu Serif" w:hAnsi="DejaVu Serif"/>
          <w:lang w:val="en-US"/>
        </w:rPr>
        <w:t xml:space="preserve"> to the GATS Security Instrument</w:t>
      </w:r>
      <w:bookmarkEnd w:id="14"/>
    </w:p>
    <w:p>
      <w:pPr>
        <w:pStyle w:val="AWGBodyText12C"/>
        <w:numPr>
          <w:ilvl w:val="0"/>
          <w:numId w:val="0"/>
        </w:numPr>
        <w:ind w:left="908" w:hanging="0"/>
        <w:rPr>
          <w:rFonts w:ascii="DejaVu Serif" w:hAnsi="DejaVu Serif"/>
        </w:rPr>
      </w:pPr>
      <w:r>
        <w:rPr>
          <w:rFonts w:ascii="DejaVu Serif" w:hAnsi="DejaVu Serif"/>
          <w:lang w:val="en-US"/>
        </w:rPr>
        <w:t xml:space="preserve">With effect </w:t>
      </w:r>
      <w:r>
        <w:rPr>
          <w:rFonts w:ascii="DejaVu Serif" w:hAnsi="DejaVu Serif"/>
        </w:rPr>
        <w:t>from</w:t>
      </w:r>
      <w:r>
        <w:rPr>
          <w:rFonts w:ascii="DejaVu Serif" w:hAnsi="DejaVu Serif"/>
          <w:lang w:val="en-US"/>
        </w:rPr>
        <w:t xml:space="preserve">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xml:space="preserve">) to the GATS Security Instrument is amended to reflect the legal name and other details of the New Secured Party as the ‘Secured Party’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r>
        <w:rPr>
          <w:rFonts w:ascii="DejaVu Serif" w:hAnsi="DejaVu Serif"/>
        </w:rPr>
        <w:t>;</w:t>
      </w:r>
    </w:p>
    <w:p>
      <w:pPr>
        <w:pStyle w:val="AWGNumberedListAlt32C"/>
        <w:numPr>
          <w:ilvl w:val="3"/>
          <w:numId w:val="4"/>
        </w:numPr>
        <w:rPr>
          <w:rFonts w:ascii="DejaVu Serif" w:hAnsi="DejaVu Serif"/>
        </w:rPr>
      </w:pPr>
      <w:r>
        <w:rPr>
          <w:rFonts w:ascii="DejaVu Serif" w:hAnsi="DejaVu Serif"/>
          <w:lang w:val="en-US"/>
        </w:rPr>
        <w:t xml:space="preserve">all references in the GATS Security Instrument to the Existing </w:t>
      </w:r>
      <w:r>
        <w:rPr>
          <w:rFonts w:ascii="DejaVu Serif" w:hAnsi="DejaVu Serif"/>
        </w:rPr>
        <w:t>Secured</w:t>
      </w:r>
      <w:r>
        <w:rPr>
          <w:rFonts w:ascii="DejaVu Serif" w:hAnsi="DejaVu Serif"/>
          <w:lang w:val="en-US"/>
        </w:rPr>
        <w:t xml:space="preserve"> Party or ‘Secured Party’ are amended to refer to the New Secured Party; and</w:t>
      </w:r>
    </w:p>
    <w:p>
      <w:pPr>
        <w:pStyle w:val="AWGNumberedListAlt32C"/>
        <w:numPr>
          <w:ilvl w:val="3"/>
          <w:numId w:val="4"/>
        </w:numPr>
        <w:rPr/>
      </w:pPr>
      <w:r>
        <w:rPr>
          <w:rFonts w:ascii="DejaVu Serif" w:hAnsi="DejaVu Serif"/>
          <w:lang w:val="en-US"/>
        </w:rPr>
        <w:t>schedule 4 (</w:t>
      </w:r>
      <w:r>
        <w:rPr>
          <w:rFonts w:ascii="DejaVu Serif" w:hAnsi="DejaVu Serif"/>
          <w:i/>
          <w:lang w:val="en-US"/>
        </w:rPr>
        <w:t>Description of GATS Security Documents</w:t>
      </w:r>
      <w:r>
        <w:rPr>
          <w:rFonts w:ascii="DejaVu Serif" w:hAnsi="DejaVu Serif"/>
          <w:lang w:val="en-US"/>
        </w:rPr>
        <w:t xml:space="preserve">) to the GATS </w:t>
      </w:r>
      <w:r>
        <w:rPr>
          <w:rFonts w:ascii="DejaVu Serif" w:hAnsi="DejaVu Serif"/>
        </w:rPr>
        <w:t>Security</w:t>
      </w:r>
      <w:r>
        <w:rPr>
          <w:rFonts w:ascii="DejaVu Serif" w:hAnsi="DejaVu Serif"/>
          <w:lang w:val="en-US"/>
        </w:rPr>
        <w:t xml:space="preserve"> Instrument is amended in accordance with Schedule 3 (</w:t>
      </w:r>
      <w:r>
        <w:rPr>
          <w:rFonts w:ascii="DejaVu Serif" w:hAnsi="DejaVu Serif"/>
          <w:i/>
          <w:lang w:val="en-US"/>
        </w:rPr>
        <w:t>Amendments to Description of GATS Security Documents</w:t>
      </w:r>
      <w:r>
        <w:rPr>
          <w:rFonts w:ascii="DejaVu Serif" w:hAnsi="DejaVu Serif"/>
          <w:lang w:val="en-US"/>
        </w:rPr>
        <w:t>);</w:t>
      </w:r>
    </w:p>
    <w:p>
      <w:pPr>
        <w:pStyle w:val="AWGNumberedListAlt32C"/>
        <w:numPr>
          <w:ilvl w:val="3"/>
          <w:numId w:val="4"/>
        </w:numPr>
        <w:rPr/>
      </w:pPr>
      <w:r>
        <w:rPr>
          <w:rFonts w:ascii="DejaVu Serif" w:hAnsi="DejaVu Serif"/>
          <w:lang w:val="en-US"/>
        </w:rPr>
        <w:t xml:space="preserve">the GATS </w:t>
      </w:r>
      <w:r>
        <w:rPr>
          <w:rFonts w:ascii="DejaVu Serif" w:hAnsi="DejaVu Serif"/>
        </w:rPr>
        <w:t>Security</w:t>
      </w:r>
      <w:r>
        <w:rPr>
          <w:rFonts w:ascii="DejaVu Serif" w:hAnsi="DejaVu Serif"/>
          <w:lang w:val="en-US"/>
        </w:rPr>
        <w:t xml:space="preserve"> Instrument is otherwise amended to reflect the transactions described in Sections </w:t>
      </w:r>
      <w:r>
        <w:rPr>
          <w:rFonts w:ascii="DejaVu Serif" w:hAnsi="DejaVu Serif"/>
        </w:rPr>
        <w:fldChar w:fldCharType="begin"/>
      </w:r>
      <w:r>
        <w:rPr>
          <w:rFonts w:ascii="DejaVu Serif" w:hAnsi="DejaVu Serif"/>
        </w:rPr>
        <w:instrText> REF _Ref528609441 \w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lang w:val="en-US"/>
        </w:rPr>
        <w:t xml:space="preserve"> to </w:t>
      </w:r>
      <w:r>
        <w:rPr>
          <w:rFonts w:ascii="DejaVu Serif" w:hAnsi="DejaVu Serif"/>
        </w:rPr>
        <w:fldChar w:fldCharType="begin"/>
      </w:r>
      <w:r>
        <w:rPr>
          <w:rFonts w:ascii="DejaVu Serif" w:hAnsi="DejaVu Serif"/>
        </w:rPr>
        <w:instrText> REF _Ref526151655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lang w:val="en-US"/>
        </w:rPr>
        <w:t xml:space="preserve">. </w:t>
      </w:r>
    </w:p>
    <w:p>
      <w:pPr>
        <w:pStyle w:val="AWGBodyText12C"/>
        <w:numPr>
          <w:ilvl w:val="0"/>
          <w:numId w:val="0"/>
        </w:numPr>
        <w:ind w:left="908" w:hanging="0"/>
        <w:rPr>
          <w:rFonts w:ascii="DejaVu Serif" w:hAnsi="DejaVu Serif"/>
        </w:rPr>
      </w:pPr>
      <w:r>
        <w:rPr>
          <w:rFonts w:ascii="DejaVu Serif" w:hAnsi="DejaVu Serif"/>
          <w:lang w:val="en-US"/>
        </w:rPr>
        <w:t>Except as amended and supplemented by this Instrument, the GATS Security Instrument shall remain in full force and effect.</w:t>
      </w:r>
    </w:p>
    <w:p>
      <w:pPr>
        <w:pStyle w:val="AWGNumberedList22C"/>
        <w:numPr>
          <w:ilvl w:val="1"/>
          <w:numId w:val="4"/>
        </w:numPr>
        <w:rPr>
          <w:rFonts w:ascii="DejaVu Serif" w:hAnsi="DejaVu Serif"/>
        </w:rPr>
      </w:pPr>
      <w:r>
        <w:rPr>
          <w:rFonts w:ascii="DejaVu Serif" w:hAnsi="DejaVu Serif"/>
          <w:lang w:val="en-US"/>
        </w:rPr>
        <w:t xml:space="preserve">Third </w:t>
      </w:r>
      <w:r>
        <w:rPr>
          <w:rFonts w:ascii="DejaVu Serif" w:hAnsi="DejaVu Serif"/>
        </w:rPr>
        <w:t>Party</w:t>
      </w:r>
      <w:r>
        <w:rPr>
          <w:rFonts w:ascii="DejaVu Serif" w:hAnsi="DejaVu Serif"/>
          <w:lang w:val="en-US"/>
        </w:rPr>
        <w:t xml:space="preserve"> Beneficiaries</w:t>
      </w:r>
    </w:p>
    <w:p>
      <w:pPr>
        <w:pStyle w:val="AWGBodyText12C"/>
        <w:numPr>
          <w:ilvl w:val="0"/>
          <w:numId w:val="0"/>
        </w:numPr>
        <w:ind w:left="908" w:hanging="0"/>
        <w:rPr>
          <w:rFonts w:ascii="DejaVu Serif" w:hAnsi="DejaVu Serif"/>
        </w:rPr>
      </w:pPr>
      <w:r>
        <w:rPr>
          <w:rFonts w:ascii="DejaVu Serif" w:hAnsi="DejaVu Serif"/>
          <w:lang w:val="en-US"/>
        </w:rPr>
        <w:t xml:space="preserve">Each of the Beneficiary and the Trustee may enforce the rights conferred on it under this Instrument. No consent of the Beneficiary or the Trustee shall be necessary </w:t>
      </w:r>
      <w:r>
        <w:rPr>
          <w:rFonts w:ascii="DejaVu Serif" w:hAnsi="DejaVu Serif"/>
        </w:rPr>
        <w:t>for</w:t>
      </w:r>
      <w:r>
        <w:rPr>
          <w:rFonts w:ascii="DejaVu Serif" w:hAnsi="DejaVu Serif"/>
          <w:lang w:val="en-US"/>
        </w:rPr>
        <w:t xml:space="preserve"> any waiver or termination of any provision of this Instrument.</w:t>
      </w:r>
    </w:p>
    <w:p>
      <w:pPr>
        <w:pStyle w:val="AWGNumberedList12C"/>
        <w:numPr>
          <w:ilvl w:val="0"/>
          <w:numId w:val="4"/>
        </w:numPr>
        <w:rPr>
          <w:rFonts w:ascii="DejaVu Serif" w:hAnsi="DejaVu Serif"/>
        </w:rPr>
      </w:pPr>
      <w:r>
        <w:rPr>
          <w:rFonts w:ascii="DejaVu Serif" w:hAnsi="DejaVu Serif"/>
          <w:lang w:val="en-US"/>
        </w:rPr>
        <w:t xml:space="preserve">Further </w:t>
      </w:r>
      <w:r>
        <w:rPr>
          <w:rFonts w:ascii="DejaVu Serif" w:hAnsi="DejaVu Serif"/>
        </w:rPr>
        <w:t>Assurance</w:t>
      </w:r>
    </w:p>
    <w:p>
      <w:pPr>
        <w:pStyle w:val="AWGNumberedList22C"/>
        <w:numPr>
          <w:ilvl w:val="1"/>
          <w:numId w:val="4"/>
        </w:numPr>
        <w:rPr>
          <w:rFonts w:ascii="DejaVu Serif" w:hAnsi="DejaVu Serif"/>
        </w:rPr>
      </w:pPr>
      <w:r>
        <w:rPr>
          <w:rFonts w:ascii="DejaVu Serif" w:hAnsi="DejaVu Serif"/>
          <w:lang w:val="en-US"/>
        </w:rPr>
        <w:t xml:space="preserve">Each party to this Instrument covenants and agrees to execute such other and </w:t>
      </w:r>
      <w:r>
        <w:rPr>
          <w:rFonts w:ascii="DejaVu Serif" w:hAnsi="DejaVu Serif"/>
        </w:rPr>
        <w:t>further</w:t>
      </w:r>
      <w:r>
        <w:rPr>
          <w:rFonts w:ascii="DejaVu Serif" w:hAnsi="DejaVu Serif"/>
          <w:lang w:val="en-US"/>
        </w:rPr>
        <w:t xml:space="preserve">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p>
      <w:pPr>
        <w:pStyle w:val="AWGNumberedList22C"/>
        <w:numPr>
          <w:ilvl w:val="1"/>
          <w:numId w:val="4"/>
        </w:numPr>
        <w:rPr>
          <w:rFonts w:ascii="DejaVu Serif" w:hAnsi="DejaVu Serif"/>
        </w:rPr>
      </w:pPr>
      <w:bookmarkStart w:id="15" w:name="_Hlk535259882"/>
      <w:r>
        <w:rPr>
          <w:rFonts w:ascii="DejaVu Serif" w:hAnsi="DejaVu Serif"/>
          <w:lang w:val="en-US"/>
        </w:rPr>
        <w:t>Upon execution, an executed copy of this Instrument of this Instrument will be made available to the Beneficiary and the Trustee through the GATS Platform.</w:t>
      </w:r>
      <w:bookmarkEnd w:id="15"/>
    </w:p>
    <w:p>
      <w:pPr>
        <w:pStyle w:val="AWGNumberedList12C"/>
        <w:numPr>
          <w:ilvl w:val="0"/>
          <w:numId w:val="4"/>
        </w:numPr>
        <w:rPr>
          <w:rFonts w:ascii="DejaVu Serif" w:hAnsi="DejaVu Serif"/>
        </w:rPr>
      </w:pPr>
      <w:bookmarkStart w:id="16" w:name="_Ref526872824"/>
      <w:bookmarkStart w:id="17" w:name="_Toc525847197"/>
      <w:r>
        <w:rPr>
          <w:rFonts w:ascii="DejaVu Serif" w:hAnsi="DejaVu Serif"/>
        </w:rPr>
        <w:t>Miscellaneous</w:t>
      </w:r>
      <w:bookmarkEnd w:id="16"/>
      <w:bookmarkEnd w:id="17"/>
    </w:p>
    <w:p>
      <w:pPr>
        <w:pStyle w:val="AWGNumberedList22C"/>
        <w:numPr>
          <w:ilvl w:val="1"/>
          <w:numId w:val="4"/>
        </w:numPr>
        <w:rPr>
          <w:rFonts w:ascii="DejaVu Serif" w:hAnsi="DejaVu Serif"/>
        </w:rPr>
      </w:pPr>
      <w:r>
        <w:rPr>
          <w:rFonts w:ascii="DejaVu Serif" w:hAnsi="DejaVu Serif"/>
          <w:lang w:val="en-US"/>
        </w:rPr>
        <w:t>Electronic and Digital Execution and Delivery</w:t>
      </w:r>
    </w:p>
    <w:p>
      <w:pPr>
        <w:pStyle w:val="AWGNumberedListAlt32C"/>
        <w:numPr>
          <w:ilvl w:val="3"/>
          <w:numId w:val="4"/>
        </w:numPr>
        <w:rPr>
          <w:rFonts w:ascii="DejaVu Serif" w:hAnsi="DejaVu Serif"/>
        </w:rPr>
      </w:pPr>
      <w:r>
        <w:rPr>
          <w:rFonts w:ascii="DejaVu Serif" w:hAnsi="DejaVu Serif"/>
          <w:lang w:val="en-US"/>
        </w:rPr>
        <w:t>Each party to this Instrument agrees that:</w:t>
      </w:r>
    </w:p>
    <w:p>
      <w:pPr>
        <w:pStyle w:val="AWGNumberedListAlt42C"/>
        <w:numPr>
          <w:ilvl w:val="5"/>
          <w:numId w:val="4"/>
        </w:numPr>
        <w:rPr>
          <w:rFonts w:ascii="DejaVu Serif" w:hAnsi="DejaVu Serif"/>
        </w:rPr>
      </w:pPr>
      <w:r>
        <w:rPr>
          <w:rFonts w:ascii="DejaVu Serif" w:hAnsi="DejaVu Serif"/>
          <w:lang w:val="en-US"/>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8"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8"/>
    </w:p>
    <w:p>
      <w:pPr>
        <w:pStyle w:val="AWGNumberedListAlt32C"/>
        <w:numPr>
          <w:ilvl w:val="3"/>
          <w:numId w:val="4"/>
        </w:numPr>
        <w:rPr/>
      </w:pPr>
      <w:bookmarkStart w:id="19" w:name="_Ref24458113"/>
      <w:bookmarkStart w:id="20" w:name="_Hlk25326583"/>
      <w:bookmarkEnd w:id="20"/>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9"/>
    </w:p>
    <w:p>
      <w:pPr>
        <w:pStyle w:val="AWGNumberedList22C"/>
        <w:numPr>
          <w:ilvl w:val="1"/>
          <w:numId w:val="4"/>
        </w:numPr>
        <w:rPr>
          <w:rFonts w:ascii="DejaVu Serif" w:hAnsi="DejaVu Serif"/>
        </w:rPr>
      </w:pPr>
      <w:r>
        <w:rPr>
          <w:rFonts w:ascii="DejaVu Serif" w:hAnsi="DejaVu Serif"/>
          <w:lang w:val="en-US"/>
        </w:rPr>
        <w:t>GATS Forms</w:t>
      </w:r>
    </w:p>
    <w:p>
      <w:pPr>
        <w:pStyle w:val="AWGBodyText12C"/>
        <w:numPr>
          <w:ilvl w:val="0"/>
          <w:numId w:val="0"/>
        </w:numPr>
        <w:ind w:left="908" w:hanging="0"/>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4"/>
        </w:numPr>
        <w:rPr>
          <w:rFonts w:ascii="DejaVu Serif" w:hAnsi="DejaVu Serif"/>
        </w:rPr>
      </w:pPr>
      <w:r>
        <w:rPr>
          <w:rFonts w:ascii="DejaVu Serif" w:hAnsi="DejaVu Serif"/>
          <w:lang w:val="en-US"/>
        </w:rPr>
        <w:t>Counterparts</w:t>
      </w:r>
    </w:p>
    <w:p>
      <w:pPr>
        <w:pStyle w:val="AWGBodyText12C"/>
        <w:numPr>
          <w:ilvl w:val="0"/>
          <w:numId w:val="0"/>
        </w:numPr>
        <w:ind w:left="908" w:hanging="0"/>
        <w:rPr/>
      </w:pPr>
      <w:bookmarkStart w:id="21" w:name="_Hlk27048836"/>
      <w:r>
        <w:rPr>
          <w:rFonts w:ascii="DejaVu Serif" w:hAnsi="DejaVu Serif"/>
          <w:lang w:val="en-US"/>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21"/>
    </w:p>
    <w:p>
      <w:pPr>
        <w:pStyle w:val="AWGNumberedList22C"/>
        <w:numPr>
          <w:ilvl w:val="1"/>
          <w:numId w:val="4"/>
        </w:numPr>
        <w:rPr>
          <w:rFonts w:ascii="DejaVu Serif" w:hAnsi="DejaVu Serif"/>
        </w:rPr>
      </w:pPr>
      <w:bookmarkStart w:id="22" w:name="_Toc525847208"/>
      <w:r>
        <w:rPr>
          <w:rFonts w:ascii="DejaVu Serif" w:hAnsi="DejaVu Serif"/>
        </w:rPr>
        <w:t>Governing Law</w:t>
      </w:r>
      <w:bookmarkEnd w:id="22"/>
    </w:p>
    <w:p>
      <w:pPr>
        <w:pStyle w:val="AWGBodyText12C"/>
        <w:numPr>
          <w:ilvl w:val="0"/>
          <w:numId w:val="0"/>
        </w:numPr>
        <w:ind w:left="908" w:hanging="0"/>
        <w:rPr>
          <w:rFonts w:ascii="DejaVu Serif" w:hAnsi="DejaVu Serif"/>
        </w:rPr>
      </w:pPr>
      <w:bookmarkStart w:id="23" w:name="_Hlk27147601"/>
      <w:r>
        <w:rPr>
          <w:rFonts w:ascii="DejaVu Serif" w:hAnsi="DejaVu Serif"/>
          <w:lang w:val="en-US"/>
        </w:rPr>
        <w:t xml:space="preserve">THIS INSTRUMENT SHALL IN ALL RESPECTS BE GOVERNED BY AND CONSTRUED </w:t>
      </w:r>
      <w:r>
        <w:rPr>
          <w:rFonts w:ascii="DejaVu Serif" w:hAnsi="DejaVu Serif"/>
        </w:rPr>
        <w:t>IN</w:t>
      </w:r>
      <w:r>
        <w:rPr>
          <w:rFonts w:ascii="DejaVu Serif" w:hAnsi="DejaVu Serif"/>
          <w:lang w:val="en-US"/>
        </w:rPr>
        <w:t xml:space="preserve"> ACCORDANCE WITH THE LAWS OF THE STATE OF NEW YORK, INCLUDING ALL MATTERS OF CONSTRUCTION, VALIDITY AND PERFORMANCE, WITHOUT REGARD TO CONFLICTS OF LAWS PRINCIPLES THAT WOULD RESULT IN THE APPLICATION OF THE LAW OF ANOTHER JURISDICTION.  THIS INSTRUMENT IS BEING DELIVERED IN THE STATE OF NEW YORK</w:t>
      </w:r>
      <w:bookmarkEnd w:id="23"/>
      <w:r>
        <w:rPr>
          <w:rFonts w:ascii="DejaVu Serif" w:hAnsi="DejaVu Serif"/>
          <w:lang w:val="en-US"/>
        </w:rPr>
        <w:t>.</w:t>
      </w:r>
    </w:p>
    <w:p>
      <w:pPr>
        <w:pStyle w:val="AWGNumberedList22C"/>
        <w:numPr>
          <w:ilvl w:val="1"/>
          <w:numId w:val="4"/>
        </w:numPr>
        <w:rPr>
          <w:rFonts w:ascii="DejaVu Serif" w:hAnsi="DejaVu Serif"/>
        </w:rPr>
      </w:pPr>
      <w:bookmarkStart w:id="24" w:name="_Ref525842536"/>
      <w:bookmarkStart w:id="25" w:name="_Ref529011872"/>
      <w:r>
        <w:rPr>
          <w:rFonts w:ascii="DejaVu Serif" w:hAnsi="DejaVu Serif"/>
          <w:lang w:val="en-US"/>
        </w:rPr>
        <w:t xml:space="preserve">Waiver of Jury </w:t>
      </w:r>
      <w:r>
        <w:rPr>
          <w:rFonts w:ascii="DejaVu Serif" w:hAnsi="DejaVu Serif"/>
        </w:rPr>
        <w:t>Trial</w:t>
      </w:r>
      <w:bookmarkEnd w:id="25"/>
    </w:p>
    <w:p>
      <w:pPr>
        <w:pStyle w:val="AWGBodyText12C"/>
        <w:numPr>
          <w:ilvl w:val="0"/>
          <w:numId w:val="0"/>
        </w:numPr>
        <w:ind w:left="908" w:hanging="0"/>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_Ref529011872 \w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_Ref529011872 \w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24"/>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Parties"/>
        <w:numPr>
          <w:ilvl w:val="0"/>
          <w:numId w:val="0"/>
        </w:numPr>
        <w:ind w:left="720" w:hanging="720"/>
        <w:rPr>
          <w:rFonts w:ascii="DejaVu Serif" w:hAnsi="DejaVu Serif"/>
          <w:lang w:val="en-US"/>
        </w:rPr>
      </w:pPr>
      <w:r>
        <w:rPr>
          <w:lang w:val="en-US"/>
        </w:rPr>
      </w:r>
    </w:p>
    <w:p>
      <w:pPr>
        <w:pStyle w:val="AWGBodyText"/>
        <w:jc w:val="center"/>
        <w:rPr>
          <w:lang w:val="en-US"/>
        </w:rPr>
      </w:pPr>
      <w:r>
        <w:rPr>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lang w:val="en-US"/>
        </w:rPr>
        <w:t>IN WITNESS WHEREOF</w:t>
      </w:r>
      <w:r>
        <w:rPr>
          <w:lang w:val="en-US"/>
        </w:rPr>
        <w:t xml:space="preserve">, this Instrument been duly executed by the parties hereto on </w:t>
      </w:r>
      <w:r>
        <w:rPr/>
        <w:t>the date on which the Effective Time occurred</w:t>
      </w:r>
      <w:r>
        <w:rPr>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450"/>
        <w:gridCol w:w="6379"/>
      </w:tblGrid>
      <w:tr>
        <w:trPr/>
        <w:tc>
          <w:tcPr>
            <w:tcW w:w="29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379" w:type="dxa"/>
            <w:tcBorders>
              <w:top w:val="nil"/>
              <w:left w:val="nil"/>
              <w:bottom w:val="nil"/>
              <w:right w:val="nil"/>
            </w:tcBorders>
            <w:shd w:fill="auto" w:val="clear"/>
          </w:tcPr>
          <w:p>
            <w:pPr>
              <w:pStyle w:val="1p"/>
              <w:spacing w:lineRule="auto" w:line="240" w:before="0" w:after="0"/>
              <w:rPr>
                <w:rFonts w:ascii="DejaVu Serif" w:hAnsi="DejaVu Serif"/>
                <w:sz w:val="18"/>
                <w:szCs w:val="18"/>
              </w:rPr>
            </w:pPr>
            <w:r>
              <w:rPr>
                <w:b/>
                <w:color w:val="000000"/>
                <w:sz w:val="18"/>
                <w:szCs w:val="18"/>
                <w:lang w:val="en-US"/>
              </w:rPr>
              <w:t>${securedParty.name}</w:t>
            </w:r>
            <w:r>
              <w:rPr>
                <w:color w:val="000000"/>
                <w:sz w:val="18"/>
                <w:szCs w:val="18"/>
                <w:lang w:val="en-US"/>
              </w:rPr>
              <w:t xml:space="preserve">, </w:t>
            </w:r>
            <w:r>
              <w:rPr>
                <w:b w:val="false"/>
                <w:bCs w:val="false"/>
                <w:color w:val="000000"/>
                <w:sz w:val="18"/>
                <w:szCs w:val="18"/>
                <w:lang w:val="en-US"/>
              </w:rPr>
              <w:t>as Existing Secured Party, acting in the capacity as indicated in the GATS Security Instrument</w:t>
            </w:r>
          </w:p>
        </w:tc>
      </w:tr>
      <w:tr>
        <w:trPr/>
        <w:tc>
          <w:tcPr>
            <w:tcW w:w="29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0"/>
            <w:r>
              <w:rPr>
                <w:sz w:val="18"/>
                <w:szCs w:val="18"/>
                <w:lang w:val="en-US"/>
              </w:rPr>
            </w:r>
          </w:p>
        </w:tc>
        <w:tc>
          <w:tcPr>
            <w:tcW w:w="6379" w:type="dxa"/>
            <w:tcBorders>
              <w:top w:val="nil"/>
              <w:left w:val="nil"/>
              <w:bottom w:val="nil"/>
              <w:right w:val="nil"/>
            </w:tcBorders>
            <w:shd w:fill="auto" w:val="clear"/>
          </w:tcPr>
          <w:p>
            <w:pPr>
              <w:pStyle w:val="AWGBodyText"/>
              <w:spacing w:lineRule="auto" w:line="240" w:before="0" w:after="0"/>
              <w:rPr>
                <w:rFonts w:ascii="DejaVu Serif" w:hAnsi="DejaVu Serif"/>
                <w:sz w:val="18"/>
                <w:szCs w:val="18"/>
              </w:rPr>
            </w:pPr>
            <w:r>
              <w:rPr>
                <w:sz w:val="18"/>
                <w:szCs w:val="18"/>
              </w:rPr>
              <w:t>By: ${by}</w:t>
            </w:r>
            <w:commentRangeEnd w:id="0"/>
            <w:r>
              <w:commentReference w:id="0"/>
            </w:r>
            <w:r>
              <w:rPr>
                <w:sz w:val="18"/>
                <w:szCs w:val="18"/>
              </w:rPr>
            </w:r>
          </w:p>
          <w:p>
            <w:pPr>
              <w:pStyle w:val="AWGBodyText"/>
              <w:spacing w:lineRule="auto" w:line="240" w:before="0" w:after="0"/>
              <w:rPr>
                <w:rFonts w:ascii="DejaVu Serif" w:hAnsi="DejaVu Serif"/>
              </w:rPr>
            </w:pPr>
            <w:r>
              <w:rPr>
                <w:sz w:val="18"/>
                <w:szCs w:val="18"/>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rPr>
      </w:pPr>
      <w:r>
        <w:rPr>
          <w:rFonts w:ascii="DejaVu Serif" w:hAnsi="DejaVu Serif"/>
          <w:sz w:val="18"/>
        </w:rPr>
      </w:r>
    </w:p>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450"/>
        <w:gridCol w:w="6379"/>
      </w:tblGrid>
      <w:tr>
        <w:trPr/>
        <w:tc>
          <w:tcPr>
            <w:tcW w:w="29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379" w:type="dxa"/>
            <w:tcBorders>
              <w:top w:val="nil"/>
              <w:left w:val="nil"/>
              <w:bottom w:val="nil"/>
              <w:right w:val="nil"/>
            </w:tcBorders>
            <w:shd w:fill="auto" w:val="clear"/>
          </w:tcPr>
          <w:p>
            <w:pPr>
              <w:pStyle w:val="1p"/>
              <w:spacing w:lineRule="auto" w:line="240" w:before="0" w:after="0"/>
              <w:rPr/>
            </w:pPr>
            <w:r>
              <w:rPr>
                <w:b/>
                <w:color w:val="000000"/>
                <w:sz w:val="18"/>
                <w:szCs w:val="18"/>
                <w:lang w:val="en-US"/>
              </w:rPr>
              <w:t>${newSecuredParty.name}</w:t>
            </w:r>
            <w:r>
              <w:rPr>
                <w:color w:val="000000"/>
                <w:sz w:val="18"/>
                <w:szCs w:val="18"/>
                <w:lang w:val="en-US"/>
              </w:rPr>
              <w:t xml:space="preserve">, </w:t>
            </w:r>
            <w:r>
              <w:rPr>
                <w:b w:val="false"/>
                <w:bCs w:val="false"/>
                <w:color w:val="000000"/>
                <w:sz w:val="18"/>
                <w:szCs w:val="18"/>
                <w:lang w:val="en-US"/>
              </w:rPr>
              <w:t>as New Secured Party, acting in the capacity as indicated in Schedule 2 (</w:t>
            </w:r>
            <w:r>
              <w:rPr>
                <w:b w:val="false"/>
                <w:bCs w:val="false"/>
                <w:i/>
                <w:color w:val="000000"/>
                <w:sz w:val="18"/>
                <w:szCs w:val="18"/>
                <w:lang w:val="en-US"/>
              </w:rPr>
              <w:t>Party Details</w:t>
            </w:r>
            <w:r>
              <w:rPr>
                <w:b w:val="false"/>
                <w:bCs w:val="false"/>
                <w:color w:val="000000"/>
                <w:sz w:val="18"/>
                <w:szCs w:val="18"/>
                <w:lang w:val="en-US"/>
              </w:rPr>
              <w:t>)</w:t>
            </w:r>
          </w:p>
        </w:tc>
      </w:tr>
      <w:tr>
        <w:trPr/>
        <w:tc>
          <w:tcPr>
            <w:tcW w:w="29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2"/>
            <w:r>
              <w:rPr>
                <w:sz w:val="18"/>
                <w:szCs w:val="18"/>
                <w:lang w:val="en-US"/>
              </w:rPr>
            </w:r>
          </w:p>
        </w:tc>
        <w:tc>
          <w:tcPr>
            <w:tcW w:w="6379" w:type="dxa"/>
            <w:tcBorders>
              <w:top w:val="nil"/>
              <w:left w:val="nil"/>
              <w:bottom w:val="nil"/>
              <w:right w:val="nil"/>
            </w:tcBorders>
            <w:shd w:fill="auto" w:val="clear"/>
          </w:tcPr>
          <w:p>
            <w:pPr>
              <w:pStyle w:val="AWGBodyText"/>
              <w:spacing w:lineRule="auto" w:line="240" w:before="0" w:after="0"/>
              <w:rPr>
                <w:rFonts w:ascii="DejaVu Serif" w:hAnsi="DejaVu Serif"/>
                <w:sz w:val="18"/>
                <w:szCs w:val="18"/>
              </w:rPr>
            </w:pPr>
            <w:r>
              <w:rPr>
                <w:sz w:val="18"/>
                <w:szCs w:val="18"/>
              </w:rPr>
              <w:t>By: ${by}</w:t>
            </w:r>
            <w:commentRangeEnd w:id="2"/>
            <w:r>
              <w:commentReference w:id="2"/>
            </w:r>
            <w:r>
              <w:rPr>
                <w:sz w:val="18"/>
                <w:szCs w:val="18"/>
              </w:rPr>
            </w:r>
          </w:p>
          <w:p>
            <w:pPr>
              <w:pStyle w:val="AWGBodyText"/>
              <w:spacing w:lineRule="auto" w:line="240" w:before="0" w:after="0"/>
              <w:rPr>
                <w:rFonts w:ascii="DejaVu Serif" w:hAnsi="DejaVu Serif"/>
              </w:rPr>
            </w:pPr>
            <w:r>
              <w:rPr>
                <w:sz w:val="18"/>
                <w:szCs w:val="18"/>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lang w:val="en-US"/>
        </w:rPr>
      </w:pPr>
      <w:bookmarkStart w:id="27" w:name="_Toc526435856"/>
      <w:r>
        <w:rPr>
          <w:lang w:val="en-US"/>
        </w:rPr>
        <w:br/>
      </w:r>
      <w:bookmarkStart w:id="28" w:name="_Ref528695248"/>
      <w:bookmarkEnd w:id="27"/>
      <w:r>
        <w:rPr>
          <w:lang w:val="en-US"/>
        </w:rPr>
        <w:t>Description of GATS Trust</w:t>
      </w:r>
      <w:bookmarkEnd w:id="28"/>
    </w:p>
    <w:tbl>
      <w:tblPr>
        <w:tblStyle w:val="TableGrid"/>
        <w:tblW w:w="9360" w:type="dxa"/>
        <w:jc w:val="left"/>
        <w:tblInd w:w="109" w:type="dxa"/>
        <w:tblCellMar>
          <w:top w:w="0" w:type="dxa"/>
          <w:left w:w="108" w:type="dxa"/>
          <w:bottom w:w="0" w:type="dxa"/>
          <w:right w:w="108" w:type="dxa"/>
        </w:tblCellMar>
        <w:tblLook w:val="04a0" w:noVBand="1" w:noHBand="0" w:lastColumn="0" w:firstColumn="1" w:lastRow="0" w:firstRow="1"/>
      </w:tblPr>
      <w:tblGrid>
        <w:gridCol w:w="2660"/>
        <w:gridCol w:w="972"/>
        <w:gridCol w:w="2204"/>
        <w:gridCol w:w="3523"/>
      </w:tblGrid>
      <w:tr>
        <w:trPr/>
        <w:tc>
          <w:tcPr>
            <w:tcW w:w="2660" w:type="dxa"/>
            <w:tcBorders/>
            <w:shd w:fill="auto" w:val="clear"/>
          </w:tcPr>
          <w:p>
            <w:pPr>
              <w:pStyle w:val="AWGBodyText"/>
              <w:spacing w:lineRule="auto" w:line="240" w:before="0" w:after="0"/>
              <w:rPr>
                <w:b/>
                <w:b/>
                <w:lang w:val="en-US"/>
              </w:rPr>
            </w:pPr>
            <w:r>
              <w:rPr>
                <w:b/>
                <w:sz w:val="18"/>
                <w:szCs w:val="18"/>
                <w:lang w:val="en-US"/>
              </w:rPr>
              <w:t>Trust Branch</w:t>
            </w:r>
          </w:p>
        </w:tc>
        <w:tc>
          <w:tcPr>
            <w:tcW w:w="972" w:type="dxa"/>
            <w:tcBorders/>
            <w:shd w:fill="auto" w:val="clear"/>
          </w:tcPr>
          <w:p>
            <w:pPr>
              <w:pStyle w:val="AWGBodyText"/>
              <w:spacing w:lineRule="auto" w:line="240" w:before="0" w:after="0"/>
              <w:rPr>
                <w:b/>
                <w:b/>
                <w:lang w:val="en-US"/>
              </w:rPr>
            </w:pPr>
            <w:r>
              <w:rPr>
                <w:b/>
                <w:sz w:val="18"/>
                <w:szCs w:val="18"/>
                <w:lang w:val="en-US"/>
              </w:rPr>
              <w:t>UIN</w:t>
            </w:r>
          </w:p>
        </w:tc>
        <w:tc>
          <w:tcPr>
            <w:tcW w:w="2204" w:type="dxa"/>
            <w:tcBorders/>
            <w:shd w:fill="auto" w:val="clear"/>
          </w:tcPr>
          <w:p>
            <w:pPr>
              <w:pStyle w:val="AWGBodyText"/>
              <w:spacing w:lineRule="auto" w:line="240" w:before="0" w:after="0"/>
              <w:rPr>
                <w:b/>
                <w:b/>
                <w:lang w:val="en-US"/>
              </w:rPr>
            </w:pPr>
            <w:r>
              <w:rPr>
                <w:b/>
                <w:sz w:val="18"/>
                <w:szCs w:val="18"/>
                <w:lang w:val="en-US"/>
              </w:rPr>
              <w:t>Name</w:t>
            </w:r>
          </w:p>
        </w:tc>
        <w:tc>
          <w:tcPr>
            <w:tcW w:w="3523" w:type="dxa"/>
            <w:tcBorders/>
            <w:shd w:fill="auto" w:val="clear"/>
          </w:tcPr>
          <w:p>
            <w:pPr>
              <w:pStyle w:val="AWGBodyText"/>
              <w:spacing w:lineRule="auto" w:line="240" w:before="0" w:after="0"/>
              <w:jc w:val="left"/>
              <w:rPr>
                <w:b/>
                <w:b/>
                <w:lang w:val="en-US"/>
              </w:rPr>
            </w:pPr>
            <w:r>
              <w:rPr>
                <w:b/>
                <w:sz w:val="18"/>
                <w:szCs w:val="18"/>
                <w:lang w:val="en-US"/>
              </w:rPr>
              <w:t>Date of Establishment (E) or Migration (M) into GATS</w:t>
            </w:r>
          </w:p>
        </w:tc>
      </w:tr>
      <w:tr>
        <w:trPr/>
        <w:tc>
          <w:tcPr>
            <w:tcW w:w="266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sz w:val="18"/>
                <w:szCs w:val="18"/>
              </w:rPr>
            </w:pPr>
            <w:r>
              <w:rPr>
                <w:rFonts w:eastAsia="Calibri" w:cs=""/>
                <w:color w:val="000000"/>
                <w:kern w:val="0"/>
                <w:sz w:val="18"/>
                <w:szCs w:val="18"/>
                <w:lang w:val="en-US" w:eastAsia="ja-JP" w:bidi="ar-SA"/>
              </w:rPr>
              <w:t>${trust.branch}</w:t>
            </w:r>
          </w:p>
        </w:tc>
        <w:tc>
          <w:tcPr>
            <w:tcW w:w="972"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${trust.name}</w:t>
            </w:r>
          </w:p>
        </w:tc>
        <w:tc>
          <w:tcPr>
            <w:tcW w:w="3523"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lang w:val="en-US"/>
        </w:rPr>
      </w:pPr>
      <w:r>
        <w:rPr>
          <w:lang w:val="en-US"/>
        </w:rPr>
        <w:br/>
      </w:r>
      <w:bookmarkStart w:id="31" w:name="_Ref29981004"/>
      <w:r>
        <w:rPr>
          <w:lang w:val="en-US"/>
        </w:rPr>
        <w:t>Party Details</w:t>
      </w:r>
      <w:bookmarkEnd w:id="31"/>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b/>
                <w:b/>
                <w:lang w:val="en-US"/>
              </w:rPr>
            </w:pPr>
            <w:r>
              <w:rPr>
                <w:b/>
                <w:sz w:val="18"/>
                <w:szCs w:val="18"/>
                <w:lang w:val="en-US"/>
              </w:rPr>
              <w:t>1</w:t>
            </w:r>
          </w:p>
        </w:tc>
        <w:tc>
          <w:tcPr>
            <w:tcW w:w="3498" w:type="dxa"/>
            <w:tcBorders/>
            <w:shd w:fill="auto" w:val="clear"/>
          </w:tcPr>
          <w:p>
            <w:pPr>
              <w:pStyle w:val="AWGBodyText"/>
              <w:spacing w:lineRule="auto" w:line="240" w:before="0" w:after="0"/>
              <w:jc w:val="left"/>
              <w:rPr>
                <w:b/>
                <w:b/>
                <w:lang w:val="en-US"/>
              </w:rPr>
            </w:pPr>
            <w:r>
              <w:rPr>
                <w:b/>
                <w:sz w:val="18"/>
                <w:szCs w:val="18"/>
                <w:lang w:val="en-US"/>
              </w:rPr>
              <w:t>Existing Secured Party</w:t>
            </w:r>
          </w:p>
        </w:tc>
        <w:tc>
          <w:tcPr>
            <w:tcW w:w="5437" w:type="dxa"/>
            <w:tcBorders/>
            <w:shd w:fill="auto" w:val="clear"/>
          </w:tcPr>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b/>
                <w:b/>
                <w:lang w:val="en-US"/>
              </w:rPr>
            </w:pPr>
            <w:r>
              <w:rPr>
                <w:sz w:val="18"/>
                <w:szCs w:val="18"/>
                <w:lang w:val="en-US"/>
              </w:rPr>
              <w:t>Jurisdiction of formation, incorporation or organization:</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sz w:val="18"/>
                <w:szCs w:val="18"/>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New Secured Party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${newSecuredParty.name}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${newSecuredParty.id}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Jurisdiction of formation, incorporation or organization:</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${newSecuredParty.jurisdiction}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${newSecuredParty.entityType}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rHeight w:val="253" w:hRule="atLeast"/>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ind w:hanging="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b w:val="false"/>
                <w:bCs w:val="false"/>
                <w:sz w:val="18"/>
                <w:szCs w:val="18"/>
                <w:lang w:val="en-US"/>
              </w:rPr>
              <w:t>Capacity:</w:t>
            </w:r>
          </w:p>
        </w:tc>
        <w:tc>
          <w:tcPr>
            <w:tcW w:w="5437" w:type="dxa"/>
            <w:tcBorders>
              <w:top w:val="nil"/>
            </w:tcBorders>
            <w:shd w:fill="auto" w:val="clear"/>
            <w:tcMar>
              <w:top w:w="29" w:type="dxa"/>
              <w:left w:w="115" w:type="dxa"/>
              <w:bottom w:w="29" w:type="dxa"/>
              <w:right w:w="115" w:type="dxa"/>
            </w:tcMar>
          </w:tcPr>
          <w:tbl>
            <w:tblPr>
              <w:tblW w:w="5221" w:type="dxa"/>
              <w:jc w:val="left"/>
              <w:tblInd w:w="0" w:type="dxa"/>
              <w:tblCellMar>
                <w:top w:w="55" w:type="dxa"/>
                <w:left w:w="55" w:type="dxa"/>
                <w:bottom w:w="55" w:type="dxa"/>
                <w:right w:w="55" w:type="dxa"/>
              </w:tblCellMar>
            </w:tblPr>
            <w:tblGrid>
              <w:gridCol w:w="817"/>
              <w:gridCol w:w="4403"/>
            </w:tblGrid>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8"/>
                            <w:szCs w:val="18"/>
                          </w:rPr>
                          <w:t>${securedPartIsAgent}</w:t>
                        </w:r>
                      </w:p>
                    </w:tc>
                  </w:tr>
                </w:tbl>
                <w:p>
                  <w:pPr>
                    <w:pStyle w:val="TableContents"/>
                    <w:suppressLineNumbers/>
                    <w:spacing w:lineRule="auto" w:line="240" w:before="0" w:after="120"/>
                    <w:rPr>
                      <w:rFonts w:ascii="DejaVu Serif" w:hAnsi="DejaVu Serif"/>
                      <w:sz w:val="18"/>
                      <w:szCs w:val="18"/>
                    </w:rPr>
                  </w:pPr>
                  <w:r>
                    <w:rPr>
                      <w:rFonts w:ascii="DejaVu Serif" w:hAnsi="DejaVu Serif"/>
                      <w:sz w:val="18"/>
                      <w:szCs w:val="18"/>
                    </w:rPr>
                  </w:r>
                </w:p>
              </w:tc>
              <w:tc>
                <w:tcPr>
                  <w:tcW w:w="4403" w:type="dxa"/>
                  <w:tcBorders/>
                  <w:shd w:fill="auto" w:val="clear"/>
                  <w:vAlign w:val="center"/>
                </w:tcPr>
                <w:p>
                  <w:pPr>
                    <w:pStyle w:val="AWGBodyText"/>
                    <w:spacing w:lineRule="auto" w:line="240" w:before="120" w:after="120"/>
                    <w:jc w:val="left"/>
                    <w:rPr>
                      <w:rFonts w:ascii="DejaVu Serif" w:hAnsi="DejaVu Serif"/>
                    </w:rPr>
                  </w:pPr>
                  <w:r>
                    <w:rPr>
                      <w:sz w:val="18"/>
                      <w:szCs w:val="18"/>
                      <w:lang w:val="en-US"/>
                    </w:rPr>
                    <w:t>If checked, the Secured Party is acting as agent or trustee on behalf of certain other secured parties</w:t>
                  </w:r>
                </w:p>
              </w:tc>
            </w:tr>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8"/>
                            <w:szCs w:val="18"/>
                          </w:rPr>
                          <w:t>${securedPartIsNotAgent}</w:t>
                        </w:r>
                      </w:p>
                    </w:tc>
                  </w:tr>
                </w:tbl>
                <w:p>
                  <w:pPr>
                    <w:pStyle w:val="TableContents"/>
                    <w:suppressLineNumbers/>
                    <w:spacing w:lineRule="auto" w:line="240" w:before="0" w:after="120"/>
                    <w:rPr>
                      <w:rFonts w:ascii="DejaVu Serif" w:hAnsi="DejaVu Serif"/>
                      <w:sz w:val="18"/>
                      <w:szCs w:val="18"/>
                    </w:rPr>
                  </w:pPr>
                  <w:r>
                    <w:rPr>
                      <w:rFonts w:ascii="DejaVu Serif" w:hAnsi="DejaVu Serif"/>
                      <w:sz w:val="18"/>
                      <w:szCs w:val="18"/>
                    </w:rPr>
                  </w:r>
                </w:p>
              </w:tc>
              <w:tc>
                <w:tcPr>
                  <w:tcW w:w="4403" w:type="dxa"/>
                  <w:tcBorders/>
                  <w:shd w:fill="auto" w:val="clear"/>
                  <w:vAlign w:val="center"/>
                </w:tcPr>
                <w:p>
                  <w:pPr>
                    <w:pStyle w:val="AWGBodyText"/>
                    <w:spacing w:lineRule="auto" w:line="240" w:before="120" w:after="120"/>
                    <w:jc w:val="left"/>
                    <w:rPr>
                      <w:rFonts w:ascii="DejaVu Serif" w:hAnsi="DejaVu Serif"/>
                    </w:rPr>
                  </w:pPr>
                  <w:r>
                    <w:rPr>
                      <w:sz w:val="18"/>
                      <w:szCs w:val="18"/>
                      <w:lang w:val="en-US"/>
                    </w:rPr>
                    <w:t>If checked, the Secured Party is acting in its individual capacity for its own account</w:t>
                  </w:r>
                </w:p>
              </w:tc>
            </w:tr>
          </w:tbl>
          <w:p>
            <w:pPr>
              <w:pStyle w:val="AWGBodyText"/>
              <w:spacing w:lineRule="auto" w:line="240" w:before="0" w:after="0"/>
              <w:jc w:val="left"/>
              <w:rPr>
                <w:rFonts w:ascii="DejaVu Serif" w:hAnsi="DejaVu Serif"/>
                <w:sz w:val="18"/>
                <w:szCs w:val="18"/>
                <w:lang w:val="en-US"/>
              </w:rPr>
            </w:pPr>
            <w:r>
              <w:rPr>
                <w:sz w:val="18"/>
                <w:szCs w:val="18"/>
                <w:lang w:val="en-US"/>
              </w:rPr>
            </w:r>
          </w:p>
        </w:tc>
      </w:tr>
    </w:tbl>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3</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${beneficiary.name}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${beneficiary.id}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${beneficiary.jurisdiction}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${beneficiary.entityType}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pPr>
            <w:r>
              <w:rPr>
                <w:sz w:val="18"/>
                <w:szCs w:val="18"/>
                <w:lang w:val="en-US"/>
              </w:rPr>
              <w:t>Location (within the meaning of Section 9-307 of the UCC)</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color w:val="000000"/>
                <w:sz w:val="18"/>
                <w:szCs w:val="18"/>
                <w:lang w:val="en-US"/>
              </w:rPr>
              <w:t>${beneficiary.location}</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sz w:val="18"/>
                <w:szCs w:val="18"/>
                <w:lang w:val="en-US"/>
              </w:rPr>
              <w:t>4</w:t>
            </w:r>
          </w:p>
        </w:tc>
        <w:tc>
          <w:tcPr>
            <w:tcW w:w="3498" w:type="dxa"/>
            <w:tcBorders/>
            <w:shd w:fill="auto" w:val="clear"/>
          </w:tcPr>
          <w:p>
            <w:pPr>
              <w:pStyle w:val="AWGBodyText"/>
              <w:spacing w:lineRule="auto" w:line="240" w:before="0" w:after="0"/>
              <w:jc w:val="left"/>
              <w:rPr>
                <w:rFonts w:ascii="DejaVu Serif" w:hAnsi="DejaVu Serif"/>
              </w:rPr>
            </w:pPr>
            <w:r>
              <w:rPr>
                <w:b/>
                <w:sz w:val="18"/>
                <w:szCs w:val="18"/>
                <w:lang w:val="en-US"/>
              </w:rPr>
              <w:t>Trustee</w:t>
            </w:r>
          </w:p>
        </w:tc>
        <w:tc>
          <w:tcPr>
            <w:tcW w:w="5437" w:type="dxa"/>
            <w:tcBorders/>
            <w:shd w:fill="auto" w:val="clear"/>
          </w:tcPr>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${trustee.name}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${trustee.id}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pPr>
            <w:r>
              <w:rPr>
                <w:sz w:val="18"/>
                <w:szCs w:val="18"/>
                <w:lang w:val="en-US"/>
              </w:rPr>
              <w:t>Jurisdiction of formation, incorporation or organization:</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${trustee.jurisdiction}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${trustee.entityType}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rFonts w:ascii="DejaVu Serif" w:hAnsi="DejaVu Serif"/>
        </w:rPr>
      </w:pPr>
      <w:r>
        <w:rPr>
          <w:lang w:val="en-US"/>
        </w:rPr>
        <w:br/>
      </w:r>
      <w:bookmarkStart w:id="34" w:name="_Ref534645476"/>
      <w:r>
        <w:rPr/>
        <w:t xml:space="preserve">Amendments to Description of </w:t>
      </w:r>
      <w:bookmarkEnd w:id="34"/>
      <w:r>
        <w:rPr/>
        <w:t>GATS Security Documents</w:t>
      </w:r>
    </w:p>
    <w:p>
      <w:pPr>
        <w:pStyle w:val="AWGBodyText"/>
        <w:rPr>
          <w:rFonts w:ascii="DejaVu Serif" w:hAnsi="DejaVu Serif"/>
        </w:rPr>
      </w:pPr>
      <w:r>
        <w:rPr/>
        <w:t>Schedule 4 (</w:t>
      </w:r>
      <w:r>
        <w:rPr>
          <w:i/>
        </w:rPr>
        <w:t>Description of GATS Security Documents</w:t>
      </w:r>
      <w:r>
        <w:rPr/>
        <w:t>) to the GATS Security Instrument shall be deleted in its entirety and replaced with the following:</w:t>
      </w:r>
    </w:p>
    <w:p>
      <w:pPr>
        <w:pStyle w:val="AWGBodyText"/>
        <w:spacing w:before="120" w:after="120"/>
        <w:jc w:val="center"/>
        <w:rPr>
          <w:rFonts w:ascii="DejaVu Serif" w:hAnsi="DejaVu Serif"/>
        </w:rPr>
      </w:pPr>
      <w:r>
        <w:rPr>
          <w:sz w:val="18"/>
          <w:szCs w:val="18"/>
        </w:rPr>
        <w:t>START AMENDED TEXT</w:t>
      </w:r>
    </w:p>
    <w:p>
      <w:pPr>
        <w:pStyle w:val="AWGBodyText"/>
        <w:spacing w:before="120" w:after="120"/>
        <w:jc w:val="center"/>
        <w:rPr>
          <w:rFonts w:ascii="DejaVu Serif" w:hAnsi="DejaVu Serif"/>
          <w:sz w:val="18"/>
          <w:szCs w:val="18"/>
        </w:rPr>
      </w:pPr>
      <w:r>
        <w:rPr>
          <w:sz w:val="18"/>
          <w:szCs w:val="18"/>
        </w:rPr>
      </w:r>
    </w:p>
    <w:tbl>
      <w:tblPr>
        <w:tblStyle w:val="TableGrid"/>
        <w:tblW w:w="9360" w:type="dxa"/>
        <w:jc w:val="left"/>
        <w:tblInd w:w="115" w:type="dxa"/>
        <w:tblCellMar>
          <w:top w:w="58" w:type="dxa"/>
          <w:left w:w="115" w:type="dxa"/>
          <w:bottom w:w="58" w:type="dxa"/>
          <w:right w:w="115" w:type="dxa"/>
        </w:tblCellMar>
        <w:tblLook w:val="04a0" w:noVBand="1" w:noHBand="0" w:lastColumn="0" w:firstColumn="1" w:lastRow="0" w:firstRow="1"/>
      </w:tblPr>
      <w:tblGrid>
        <w:gridCol w:w="362"/>
        <w:gridCol w:w="2420"/>
        <w:gridCol w:w="6578"/>
      </w:tblGrid>
      <w:tr>
        <w:trPr/>
        <w:tc>
          <w:tcPr>
            <w:tcW w:w="362" w:type="dxa"/>
            <w:tcBorders>
              <w:bottom w:val="nil"/>
              <w:right w:val="nil"/>
            </w:tcBorders>
            <w:shd w:fill="auto" w:val="clear"/>
          </w:tcPr>
          <w:p>
            <w:pPr>
              <w:pStyle w:val="AWGBodyText"/>
              <w:numPr>
                <w:ilvl w:val="0"/>
                <w:numId w:val="2"/>
              </w:numPr>
              <w:spacing w:lineRule="auto" w:line="240" w:before="0" w:after="0"/>
              <w:jc w:val="left"/>
              <w:rPr>
                <w:rFonts w:ascii="DejaVu Serif" w:hAnsi="DejaVu Serif"/>
                <w:color w:val="000000"/>
                <w:sz w:val="18"/>
                <w:szCs w:val="18"/>
                <w:lang w:val="en-US"/>
              </w:rPr>
            </w:pPr>
            <w:commentRangeStart w:id="4"/>
            <w:r>
              <w:rPr>
                <w:color w:val="000000"/>
                <w:sz w:val="18"/>
                <w:szCs w:val="18"/>
                <w:lang w:val="en-US"/>
              </w:rPr>
            </w:r>
          </w:p>
        </w:tc>
        <w:tc>
          <w:tcPr>
            <w:tcW w:w="2420" w:type="dxa"/>
            <w:tcBorders>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Name:</w:t>
            </w:r>
          </w:p>
        </w:tc>
        <w:tc>
          <w:tcPr>
            <w:tcW w:w="6578" w:type="dxa"/>
            <w:tcBorders>
              <w:bottom w:val="nil"/>
            </w:tcBorders>
            <w:shd w:fill="auto" w:val="clear"/>
          </w:tcPr>
          <w:p>
            <w:pPr>
              <w:pStyle w:val="AWGBodyText"/>
              <w:spacing w:lineRule="auto" w:line="240" w:before="0" w:after="0"/>
              <w:jc w:val="left"/>
              <w:rPr>
                <w:rFonts w:ascii="DejaVu Serif" w:hAnsi="DejaVu Serif"/>
                <w:sz w:val="18"/>
                <w:szCs w:val="18"/>
              </w:rPr>
            </w:pPr>
            <w:r>
              <w:rPr>
                <w:rFonts w:eastAsia="Calibri" w:cs=""/>
                <w:color w:val="000000"/>
                <w:kern w:val="0"/>
                <w:sz w:val="18"/>
                <w:szCs w:val="18"/>
                <w:lang w:val="en-US" w:eastAsia="ja-JP" w:bidi="ar-SA"/>
              </w:rPr>
              <w:t>${name}</w:t>
            </w:r>
          </w:p>
        </w:tc>
      </w:tr>
      <w:tr>
        <w:trPr/>
        <w:tc>
          <w:tcPr>
            <w:tcW w:w="362"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420"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GATS Transaction ID:</w:t>
            </w:r>
          </w:p>
        </w:tc>
        <w:tc>
          <w:tcPr>
            <w:tcW w:w="6578"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rFonts w:cs="Courier New"/>
                <w:color w:val="000000"/>
                <w:sz w:val="18"/>
                <w:szCs w:val="18"/>
                <w:lang w:val="en-GB"/>
              </w:rPr>
              <w:t>${transactionID}</w:t>
            </w:r>
          </w:p>
        </w:tc>
      </w:tr>
      <w:tr>
        <w:trPr/>
        <w:tc>
          <w:tcPr>
            <w:tcW w:w="362"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420"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Trust Branch:</w:t>
            </w:r>
          </w:p>
        </w:tc>
        <w:tc>
          <w:tcPr>
            <w:tcW w:w="6578"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rFonts w:eastAsia="Calibri" w:cs=""/>
                <w:color w:val="000000"/>
                <w:kern w:val="0"/>
                <w:sz w:val="18"/>
                <w:szCs w:val="18"/>
                <w:lang w:val="en-US" w:eastAsia="ja-JP" w:bidi="ar-SA"/>
              </w:rPr>
              <w:t>${branch}</w:t>
            </w:r>
          </w:p>
        </w:tc>
      </w:tr>
      <w:tr>
        <w:trPr/>
        <w:tc>
          <w:tcPr>
            <w:tcW w:w="362"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420"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rPr>
              <w:t>GATS Form Version:</w:t>
            </w:r>
          </w:p>
        </w:tc>
        <w:tc>
          <w:tcPr>
            <w:tcW w:w="6578"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color w:val="000000"/>
                <w:sz w:val="18"/>
                <w:szCs w:val="18"/>
                <w:lang w:val="en-US"/>
              </w:rPr>
              <w:t>1.0</w:t>
            </w:r>
          </w:p>
        </w:tc>
      </w:tr>
      <w:tr>
        <w:trPr/>
        <w:tc>
          <w:tcPr>
            <w:tcW w:w="362"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420"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Effective Time:</w:t>
            </w:r>
          </w:p>
        </w:tc>
        <w:tc>
          <w:tcPr>
            <w:tcW w:w="6578"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color w:val="000000"/>
                <w:sz w:val="18"/>
                <w:szCs w:val="18"/>
                <w:lang w:val="en-US"/>
              </w:rPr>
              <w:t>${</w:t>
            </w:r>
            <w:bookmarkStart w:id="35" w:name="__DdeLink__1160_3275829521"/>
            <w:r>
              <w:rPr>
                <w:color w:val="000000"/>
                <w:sz w:val="18"/>
                <w:szCs w:val="18"/>
                <w:lang w:val="en-US"/>
              </w:rPr>
              <w:t>dateOrEffectiveTime</w:t>
            </w:r>
            <w:bookmarkEnd w:id="35"/>
            <w:r>
              <w:rPr>
                <w:color w:val="000000"/>
                <w:sz w:val="18"/>
                <w:szCs w:val="18"/>
                <w:lang w:val="en-US"/>
              </w:rPr>
              <w:t>}</w:t>
            </w:r>
          </w:p>
        </w:tc>
      </w:tr>
      <w:tr>
        <w:trPr/>
        <w:tc>
          <w:tcPr>
            <w:tcW w:w="362" w:type="dxa"/>
            <w:tcBorders>
              <w:top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420" w:type="dxa"/>
            <w:tcBorders>
              <w:top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tc>
        <w:tc>
          <w:tcPr>
            <w:tcW w:w="6578" w:type="dxa"/>
            <w:tcBorders>
              <w:top w:val="nil"/>
            </w:tcBorders>
            <w:shd w:fill="auto" w:val="clear"/>
          </w:tcPr>
          <w:p>
            <w:pPr>
              <w:pStyle w:val="AWGBodyText"/>
              <w:spacing w:lineRule="auto" w:line="240" w:before="0" w:after="120"/>
              <w:jc w:val="left"/>
              <w:rPr>
                <w:rFonts w:ascii="DejaVu Serif" w:hAnsi="DejaVu Serif"/>
                <w:sz w:val="18"/>
                <w:szCs w:val="18"/>
              </w:rPr>
            </w:pPr>
            <w:r>
              <w:rPr>
                <w:color w:val="000000"/>
                <w:sz w:val="18"/>
                <w:szCs w:val="18"/>
                <w:lang w:val="en-US"/>
              </w:rPr>
              <w:t>${</w:t>
            </w:r>
            <w:bookmarkStart w:id="36" w:name="_Hlk271280811"/>
            <w:bookmarkEnd w:id="36"/>
            <w:r>
              <w:rPr>
                <w:color w:val="000000"/>
                <w:sz w:val="18"/>
                <w:szCs w:val="18"/>
                <w:lang w:val="en-US"/>
              </w:rPr>
              <w:t>parties}</w:t>
            </w:r>
            <w:commentRangeEnd w:id="4"/>
            <w:r>
              <w:commentReference w:id="4"/>
            </w:r>
            <w:r>
              <w:rPr>
                <w:color w:val="000000"/>
                <w:sz w:val="18"/>
                <w:szCs w:val="18"/>
                <w:lang w:val="en-US"/>
              </w:rPr>
            </w:r>
          </w:p>
        </w:tc>
      </w:tr>
    </w:tbl>
    <w:p>
      <w:pPr>
        <w:pStyle w:val="Normal"/>
        <w:spacing w:before="120" w:after="120"/>
        <w:jc w:val="center"/>
        <w:rPr>
          <w:rFonts w:ascii="DejaVu Serif" w:hAnsi="DejaVu Serif"/>
          <w:color w:val="00B050"/>
          <w:sz w:val="18"/>
          <w:szCs w:val="18"/>
        </w:rPr>
      </w:pPr>
      <w:r>
        <w:rPr>
          <w:rFonts w:ascii="DejaVu Serif" w:hAnsi="DejaVu Serif"/>
          <w:color w:val="00B050"/>
          <w:sz w:val="18"/>
          <w:szCs w:val="18"/>
        </w:rPr>
      </w:r>
    </w:p>
    <w:p>
      <w:pPr>
        <w:pStyle w:val="AWGBodyText"/>
        <w:spacing w:before="120" w:after="120"/>
        <w:jc w:val="center"/>
        <w:rPr>
          <w:color w:val="000000"/>
        </w:rPr>
      </w:pPr>
      <w:r>
        <w:rPr>
          <w:color w:val="000000"/>
          <w:sz w:val="18"/>
          <w:szCs w:val="18"/>
        </w:rPr>
        <w:t>END AMENDED TEXT</w:t>
      </w:r>
    </w:p>
    <w:p>
      <w:pPr>
        <w:pStyle w:val="AWGBodyText"/>
        <w:spacing w:before="120" w:after="120"/>
        <w:jc w:val="center"/>
        <w:rPr/>
      </w:pPr>
      <w:r>
        <w:rPr/>
      </w:r>
    </w:p>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19:00:1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2" w:author="Unknown Author" w:date="2020-04-30T14:05:3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(newSecuredParty.multiLayers)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(newSecuredPartySignatures)</w:t>
      </w:r>
    </w:p>
  </w:comment>
  <w:comment w:id="4" w:author="Unknown Author" w:date="2020-02-06T16:47:0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18"/>
          <w:sz w:val="18"/>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18"/>
          <w:sz w:val="18"/>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7" w:name="__DdeLink__945_37151406102"/>
          <w:r>
            <w:rPr>
              <w:sz w:val="18"/>
              <w:szCs w:val="18"/>
            </w:rPr>
            <w:t>GATS Form Version:</w:t>
          </w:r>
          <w:bookmarkEnd w:id="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6"/>
      <w:gridCol w:w="4860"/>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bookmarkStart w:id="8" w:name="__DdeLink__945_37151406105"/>
          <w:r>
            <w:rPr>
              <w:sz w:val="18"/>
              <w:szCs w:val="18"/>
            </w:rPr>
            <w:t>GATS Form Version:</w:t>
          </w:r>
          <w:bookmarkEnd w:id="8"/>
          <w:r>
            <w:rPr>
              <w:sz w:val="18"/>
              <w:szCs w:val="18"/>
            </w:rPr>
            <w:t xml:space="preserve"> </w:t>
          </w:r>
        </w:p>
      </w:tc>
      <w:tc>
        <w:tcPr>
          <w:tcW w:w="4860"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0"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3236001"/>
    </w:sdtPr>
    <w:sdtContent>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575" w:type="dxa"/>
      <w:jc w:val="left"/>
      <w:tblInd w:w="35" w:type="dxa"/>
      <w:tblCellMar>
        <w:top w:w="0" w:type="dxa"/>
        <w:left w:w="18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sz w:val="18"/>
              <w:szCs w:val="18"/>
            </w:rPr>
          </w:pPr>
          <w:r>
            <w:rPr>
              <w:rFonts w:cs="Courier New"/>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 xml:space="preserve">GATS Form Version: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jc w:val="left"/>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0004785"/>
    </w:sdtPr>
    <w:sdtContent>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575" w:type="dxa"/>
      <w:jc w:val="left"/>
      <w:tblInd w:w="35" w:type="dxa"/>
      <w:tblCellMar>
        <w:top w:w="0" w:type="dxa"/>
        <w:left w:w="183" w:type="dxa"/>
        <w:bottom w:w="0" w:type="dxa"/>
        <w:right w:w="108" w:type="dxa"/>
      </w:tblCellMar>
      <w:tblLook w:val="04a0" w:noVBand="1" w:noHBand="0" w:lastColumn="0" w:firstColumn="1" w:lastRow="0" w:firstRow="1"/>
    </w:tblPr>
    <w:tblGrid>
      <w:gridCol w:w="2793"/>
      <w:gridCol w:w="1420"/>
      <w:gridCol w:w="1126"/>
      <w:gridCol w:w="4236"/>
    </w:tblGrid>
    <w:tr>
      <w:trPr/>
      <w:tc>
        <w:tcPr>
          <w:tcW w:w="4213" w:type="dxa"/>
          <w:gridSpan w:val="2"/>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126" w:type="dxa"/>
          <w:tcBorders>
            <w:top w:val="nil"/>
            <w:left w:val="nil"/>
            <w:bottom w:val="nil"/>
            <w:right w:val="nil"/>
          </w:tcBorders>
          <w:shd w:fill="auto" w:val="clear"/>
        </w:tcPr>
        <w:p>
          <w:pPr>
            <w:pStyle w:val="Footer"/>
            <w:spacing w:lineRule="auto" w:line="240" w:before="0" w:after="0"/>
            <w:jc w:val="center"/>
            <w:rPr>
              <w:rFonts w:ascii="DejaVu Serif" w:hAnsi="DejaVu Serif"/>
              <w:sz w:val="18"/>
              <w:szCs w:val="18"/>
            </w:rPr>
          </w:pPr>
          <w:r>
            <w:rPr>
              <w:sz w:val="18"/>
              <w:szCs w:val="18"/>
            </w:rPr>
          </w:r>
        </w:p>
      </w:tc>
      <w:tc>
        <w:tcPr>
          <w:tcW w:w="4236"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bookmarkStart w:id="30" w:name="__DdeLink__945_37151406103"/>
          <w:r>
            <w:rPr>
              <w:sz w:val="18"/>
              <w:szCs w:val="18"/>
            </w:rPr>
            <w:t>GATS Form Version:</w:t>
          </w:r>
          <w:bookmarkEnd w:id="30"/>
          <w:r>
            <w:rPr>
              <w:sz w:val="18"/>
              <w:szCs w:val="18"/>
            </w:rPr>
            <w:t xml:space="preserve"> </w:t>
          </w:r>
        </w:p>
      </w:tc>
      <w:tc>
        <w:tcPr>
          <w:tcW w:w="6782" w:type="dxa"/>
          <w:gridSpan w:val="3"/>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82" w:type="dxa"/>
          <w:gridSpan w:val="3"/>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2414522"/>
    </w:sdtPr>
    <w:sdtContent>
      <w:p>
        <w:pPr>
          <w:pStyle w:val="Footer"/>
          <w:spacing w:lineRule="auto" w:line="240" w:before="0" w:after="0"/>
          <w:jc w:val="center"/>
          <w:rPr>
            <w:rFonts w:ascii="DejaVu Serif" w:hAnsi="DejaVu Serif"/>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575" w:type="dxa"/>
      <w:jc w:val="left"/>
      <w:tblInd w:w="35" w:type="dxa"/>
      <w:tblCellMar>
        <w:top w:w="0" w:type="dxa"/>
        <w:left w:w="183" w:type="dxa"/>
        <w:bottom w:w="0" w:type="dxa"/>
        <w:right w:w="108" w:type="dxa"/>
      </w:tblCellMar>
      <w:tblLook w:val="04a0" w:noVBand="1" w:noHBand="0" w:lastColumn="0" w:firstColumn="1" w:lastRow="0" w:firstRow="1"/>
    </w:tblPr>
    <w:tblGrid>
      <w:gridCol w:w="2793"/>
      <w:gridCol w:w="1420"/>
      <w:gridCol w:w="1126"/>
      <w:gridCol w:w="4236"/>
    </w:tblGrid>
    <w:tr>
      <w:trPr/>
      <w:tc>
        <w:tcPr>
          <w:tcW w:w="4213" w:type="dxa"/>
          <w:gridSpan w:val="2"/>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c>
        <w:tcPr>
          <w:tcW w:w="1126" w:type="dxa"/>
          <w:tcBorders>
            <w:top w:val="nil"/>
            <w:left w:val="nil"/>
            <w:bottom w:val="nil"/>
            <w:right w:val="nil"/>
          </w:tcBorders>
          <w:shd w:fill="auto" w:val="clear"/>
        </w:tcPr>
        <w:p>
          <w:pPr>
            <w:pStyle w:val="Footer"/>
            <w:spacing w:lineRule="auto" w:line="240" w:before="0" w:after="0"/>
            <w:jc w:val="center"/>
            <w:rPr>
              <w:rFonts w:ascii="DejaVu Serif" w:hAnsi="DejaVu Serif"/>
              <w:color w:val="000000"/>
              <w:sz w:val="18"/>
              <w:szCs w:val="18"/>
            </w:rPr>
          </w:pPr>
          <w:r>
            <w:rPr>
              <w:color w:val="000000"/>
              <w:sz w:val="18"/>
              <w:szCs w:val="18"/>
            </w:rPr>
          </w:r>
        </w:p>
      </w:tc>
      <w:tc>
        <w:tcPr>
          <w:tcW w:w="4236" w:type="dxa"/>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bookmarkStart w:id="33" w:name="__DdeLink__945_37151406104"/>
          <w:r>
            <w:rPr>
              <w:sz w:val="18"/>
              <w:szCs w:val="18"/>
            </w:rPr>
            <w:t>GATS Form Version:</w:t>
          </w:r>
          <w:bookmarkEnd w:id="33"/>
          <w:r>
            <w:rPr>
              <w:sz w:val="18"/>
              <w:szCs w:val="18"/>
            </w:rPr>
            <w:t xml:space="preserve"> </w:t>
          </w:r>
        </w:p>
      </w:tc>
      <w:tc>
        <w:tcPr>
          <w:tcW w:w="6782" w:type="dxa"/>
          <w:gridSpan w:val="3"/>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82" w:type="dxa"/>
          <w:gridSpan w:val="3"/>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9533103"/>
    </w:sdtPr>
    <w:sdtContent>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575" w:type="dxa"/>
      <w:jc w:val="left"/>
      <w:tblInd w:w="35" w:type="dxa"/>
      <w:tblCellMar>
        <w:top w:w="0" w:type="dxa"/>
        <w:left w:w="188" w:type="dxa"/>
        <w:bottom w:w="0" w:type="dxa"/>
        <w:right w:w="108" w:type="dxa"/>
      </w:tblCellMar>
      <w:tblLook w:val="04a0" w:noVBand="1" w:noHBand="0" w:lastColumn="0" w:firstColumn="1" w:lastRow="0" w:firstRow="1"/>
    </w:tblPr>
    <w:tblGrid>
      <w:gridCol w:w="2793"/>
      <w:gridCol w:w="1420"/>
      <w:gridCol w:w="1126"/>
      <w:gridCol w:w="4236"/>
    </w:tblGrid>
    <w:tr>
      <w:trPr/>
      <w:tc>
        <w:tcPr>
          <w:tcW w:w="4213" w:type="dxa"/>
          <w:gridSpan w:val="2"/>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c>
        <w:tcPr>
          <w:tcW w:w="1126" w:type="dxa"/>
          <w:tcBorders>
            <w:top w:val="nil"/>
            <w:left w:val="nil"/>
            <w:bottom w:val="nil"/>
            <w:right w:val="nil"/>
          </w:tcBorders>
          <w:shd w:fill="auto" w:val="clear"/>
        </w:tcPr>
        <w:p>
          <w:pPr>
            <w:pStyle w:val="Footer"/>
            <w:spacing w:lineRule="auto" w:line="240" w:before="0" w:after="0"/>
            <w:jc w:val="center"/>
            <w:rPr>
              <w:rFonts w:ascii="DejaVu Serif" w:hAnsi="DejaVu Serif"/>
              <w:color w:val="000000"/>
              <w:sz w:val="18"/>
              <w:szCs w:val="18"/>
            </w:rPr>
          </w:pPr>
          <w:r>
            <w:rPr>
              <w:color w:val="000000"/>
              <w:sz w:val="18"/>
              <w:szCs w:val="18"/>
            </w:rPr>
          </w:r>
        </w:p>
      </w:tc>
      <w:tc>
        <w:tcPr>
          <w:tcW w:w="4236" w:type="dxa"/>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8" w:name="__DdeLink__945_37151406106"/>
          <w:r>
            <w:rPr>
              <w:sz w:val="18"/>
              <w:szCs w:val="18"/>
            </w:rPr>
            <w:t>GATS Form Version:</w:t>
          </w:r>
          <w:bookmarkEnd w:id="38"/>
          <w:r>
            <w:rPr>
              <w:sz w:val="18"/>
              <w:szCs w:val="18"/>
            </w:rPr>
            <w:t xml:space="preserve"> </w:t>
          </w:r>
        </w:p>
      </w:tc>
      <w:tc>
        <w:tcPr>
          <w:tcW w:w="6782" w:type="dxa"/>
          <w:gridSpan w:val="3"/>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82" w:type="dxa"/>
          <w:gridSpan w:val="3"/>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5" w:name="__DdeLink__958_2555142934"/>
          <w:bookmarkStart w:id="6" w:name="__DdeLink__937_1759542143"/>
          <w:r>
            <w:rPr>
              <w:sz w:val="18"/>
              <w:szCs w:val="18"/>
              <w:lang w:val="en-GB"/>
            </w:rPr>
            <w:t>GATS SECURITY TRANSFER INSTRUMENT (US)</w:t>
          </w:r>
          <w:bookmarkEnd w:id="5"/>
          <w:bookmarkEnd w:id="6"/>
        </w:p>
      </w:tc>
    </w:tr>
    <w:tr>
      <w:trPr/>
      <w:tc>
        <w:tcPr>
          <w:tcW w:w="9356" w:type="dxa"/>
          <w:tcBorders>
            <w:top w:val="nil"/>
            <w:left w:val="nil"/>
            <w:bottom w:val="nil"/>
            <w:right w:val="nil"/>
          </w:tcBorders>
          <w:shd w:fill="auto" w:val="clear"/>
        </w:tcPr>
        <w:p>
          <w:pPr>
            <w:pStyle w:val="Header"/>
            <w:spacing w:lineRule="auto" w:line="240" w:before="0" w:after="0"/>
            <w:jc w:val="right"/>
            <w:rPr>
              <w:sz w:val="18"/>
              <w:szCs w:val="18"/>
            </w:rPr>
          </w:pPr>
          <w:r>
            <w:rPr>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26" w:name="__DdeLink__937_17595421432"/>
          <w:r>
            <w:rPr>
              <w:sz w:val="18"/>
              <w:szCs w:val="18"/>
              <w:lang w:val="en-GB"/>
            </w:rPr>
            <w:t>GATS SECURITY TRANSFER INSTRUMENT (US)</w:t>
          </w:r>
          <w:bookmarkEnd w:id="26"/>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29" w:name="__DdeLink__937_17595421434"/>
          <w:r>
            <w:rPr>
              <w:sz w:val="18"/>
              <w:szCs w:val="18"/>
              <w:lang w:val="en-GB"/>
            </w:rPr>
            <w:t>GATS SECURITY TRANSFER INSTRUMENT (US)</w:t>
          </w:r>
          <w:bookmarkEnd w:id="29"/>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32" w:name="__DdeLink__937_175954214344"/>
          <w:r>
            <w:rPr>
              <w:sz w:val="18"/>
              <w:szCs w:val="18"/>
              <w:lang w:val="en-GB"/>
            </w:rPr>
            <w:t>GATS SECURITY TRANSFER INSTRUMENT (US)</w:t>
          </w:r>
          <w:bookmarkEnd w:id="32"/>
        </w:p>
      </w:tc>
    </w:tr>
    <w:tr>
      <w:trPr/>
      <w:tc>
        <w:tcPr>
          <w:tcW w:w="9356"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37" w:name="__DdeLink__937_175954214346"/>
          <w:r>
            <w:rPr>
              <w:sz w:val="18"/>
              <w:szCs w:val="18"/>
              <w:lang w:val="en-GB"/>
            </w:rPr>
            <w:t>GATS SECURITY TRANSFER INSTRUMENT (US)</w:t>
          </w:r>
          <w:bookmarkEnd w:id="37"/>
        </w:p>
      </w:tc>
    </w:tr>
    <w:tr>
      <w:trPr/>
      <w:tc>
        <w:tcPr>
          <w:tcW w:w="9356"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overflowPunct w:val="fals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50fc4"/>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clear" w:pos="709"/>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50fc4"/>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50fc4"/>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overflowPunct w:val="fals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09"/>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clear" w:pos="709"/>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09"/>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09"/>
        <w:tab w:val="right" w:pos="9350" w:leader="dot"/>
      </w:tabs>
      <w:spacing w:before="0" w:after="100"/>
    </w:pPr>
    <w:rPr/>
  </w:style>
  <w:style w:type="paragraph" w:styleId="Revision">
    <w:name w:val="Revision"/>
    <w:uiPriority w:val="99"/>
    <w:semiHidden/>
    <w:qFormat/>
    <w:rsid w:val="00751fd2"/>
    <w:pPr>
      <w:widowControl/>
      <w:overflowPunct w:val="false"/>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d50fc4"/>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50fc4"/>
    <w:pPr>
      <w:widowControl w:val="false"/>
    </w:pPr>
    <w:rPr>
      <w:b/>
      <w:caps/>
    </w:rPr>
  </w:style>
  <w:style w:type="paragraph" w:styleId="AWGNumberedList22C" w:customStyle="1">
    <w:name w:val="AWG Numbered List 2 (2C)"/>
    <w:basedOn w:val="AWGBodyText12C"/>
    <w:next w:val="AWGBodyText12C"/>
    <w:qFormat/>
    <w:rsid w:val="00d50fc4"/>
    <w:pPr/>
    <w:rPr/>
  </w:style>
  <w:style w:type="paragraph" w:styleId="AWGNumberedListAlt32C" w:customStyle="1">
    <w:name w:val="AWG Numbered List Alt 3 (2C)"/>
    <w:basedOn w:val="AWGNumberedList22C"/>
    <w:next w:val="AWGBodyText12C"/>
    <w:qFormat/>
    <w:rsid w:val="00d50fc4"/>
    <w:pPr/>
    <w:rPr/>
  </w:style>
  <w:style w:type="paragraph" w:styleId="AWGNumberedList32C" w:customStyle="1">
    <w:name w:val="AWG Numbered List 3 (2C)"/>
    <w:basedOn w:val="Normal"/>
    <w:next w:val="Normal"/>
    <w:qFormat/>
    <w:rsid w:val="00d50fc4"/>
    <w:pPr>
      <w:spacing w:lineRule="auto" w:line="240"/>
      <w:jc w:val="both"/>
    </w:pPr>
    <w:rPr>
      <w:sz w:val="18"/>
      <w:lang w:val="en-GB"/>
    </w:rPr>
  </w:style>
  <w:style w:type="paragraph" w:styleId="AWGNumberedList42C" w:customStyle="1">
    <w:name w:val="AWG Numbered List 4 (2C)"/>
    <w:basedOn w:val="Normal"/>
    <w:next w:val="Normal"/>
    <w:qFormat/>
    <w:rsid w:val="00d50fc4"/>
    <w:pPr>
      <w:tabs>
        <w:tab w:val="clear" w:pos="709"/>
        <w:tab w:val="left" w:pos="1361" w:leader="none"/>
      </w:tabs>
      <w:spacing w:lineRule="auto" w:line="240"/>
      <w:jc w:val="both"/>
    </w:pPr>
    <w:rPr>
      <w:sz w:val="18"/>
      <w:lang w:val="en-GB"/>
    </w:rPr>
  </w:style>
  <w:style w:type="paragraph" w:styleId="AWGBodyText2C" w:customStyle="1">
    <w:name w:val="AWG Body Text (2C)"/>
    <w:basedOn w:val="Normal"/>
    <w:qFormat/>
    <w:rsid w:val="00d50fc4"/>
    <w:pPr>
      <w:spacing w:lineRule="auto" w:line="240"/>
      <w:jc w:val="both"/>
    </w:pPr>
    <w:rPr>
      <w:sz w:val="18"/>
      <w:lang w:val="en-GB"/>
    </w:rPr>
  </w:style>
  <w:style w:type="paragraph" w:styleId="AWGNumberedListAlt42C" w:customStyle="1">
    <w:name w:val="AWG Numbered List Alt 4 (2C)"/>
    <w:basedOn w:val="AWGNumberedList32C"/>
    <w:next w:val="Normal"/>
    <w:qFormat/>
    <w:rsid w:val="00d50fc4"/>
    <w:pPr/>
    <w:rPr/>
  </w:style>
  <w:style w:type="paragraph" w:styleId="AWGDef2C" w:customStyle="1">
    <w:name w:val="AWG Def (2C)"/>
    <w:basedOn w:val="AWGBodyText2C"/>
    <w:qFormat/>
    <w:rsid w:val="00d50fc4"/>
    <w:pPr/>
    <w:rPr/>
  </w:style>
  <w:style w:type="paragraph" w:styleId="AWGDefPara2C" w:customStyle="1">
    <w:name w:val="AWG Def Para (2C)"/>
    <w:basedOn w:val="AWGBodyText12C"/>
    <w:qFormat/>
    <w:rsid w:val="00d50fc4"/>
    <w:pPr/>
    <w:rPr/>
  </w:style>
  <w:style w:type="paragraph" w:styleId="AWGNumberedList52C" w:customStyle="1">
    <w:name w:val="AWG Numbered List 5 (2C)"/>
    <w:basedOn w:val="Normal"/>
    <w:qFormat/>
    <w:rsid w:val="00d50fc4"/>
    <w:pPr>
      <w:spacing w:lineRule="auto" w:line="240"/>
      <w:jc w:val="both"/>
    </w:pPr>
    <w:rPr>
      <w:sz w:val="18"/>
      <w:lang w:val="en-GB"/>
    </w:rPr>
  </w:style>
  <w:style w:type="paragraph" w:styleId="AWGNumberedListAlt52C" w:customStyle="1">
    <w:name w:val="AWG Numbered List Alt 5 (2C)"/>
    <w:basedOn w:val="Normal"/>
    <w:qFormat/>
    <w:rsid w:val="00d50fc4"/>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MTNum6">
    <w:name w:val="MT Num6"/>
    <w:basedOn w:val="MTNum5"/>
    <w:qFormat/>
    <w:pPr/>
    <w:rPr/>
  </w:style>
  <w:style w:type="paragraph" w:styleId="MTNum5">
    <w:name w:val="MT Num5"/>
    <w:basedOn w:val="MTNum4"/>
    <w:qFormat/>
    <w:pPr/>
    <w:rPr/>
  </w:style>
  <w:style w:type="paragraph" w:styleId="MTNum4">
    <w:name w:val="MT Num4"/>
    <w:basedOn w:val="MTNum3"/>
    <w:qFormat/>
    <w:pPr/>
    <w:rPr/>
  </w:style>
  <w:style w:type="paragraph" w:styleId="MTNum3">
    <w:name w:val="MT Num3"/>
    <w:basedOn w:val="MTNum2"/>
    <w:qFormat/>
    <w:pPr/>
    <w:rPr/>
  </w:style>
  <w:style w:type="paragraph" w:styleId="MTNum2">
    <w:name w:val="MT Num2"/>
    <w:basedOn w:val="MTNum1"/>
    <w:qFormat/>
    <w:pPr/>
    <w:rPr/>
  </w:style>
  <w:style w:type="paragraph" w:styleId="MTNum1">
    <w:name w:val="MT Num1"/>
    <w:basedOn w:val="MTNum"/>
    <w:qFormat/>
    <w:pPr>
      <w:spacing w:before="0" w:after="150"/>
    </w:pPr>
    <w:rPr/>
  </w:style>
  <w:style w:type="paragraph" w:styleId="MTNum">
    <w:name w:val="MT Num"/>
    <w:basedOn w:val="Normal"/>
    <w:qFormat/>
    <w:pPr>
      <w:spacing w:lineRule="auto" w:line="264" w:before="90" w:after="150"/>
      <w:jc w:val="both"/>
    </w:pPr>
    <w:rPr>
      <w:rFonts w:ascii="Times New Roman" w:hAnsi="Times New Roman" w:eastAsia="Times New Roman" w:cs="Times New Roman"/>
      <w:sz w:val="23"/>
      <w:szCs w:val="24"/>
      <w:lang w:val="en-GB" w:eastAsia="en-US"/>
    </w:rPr>
  </w:style>
  <w:style w:type="paragraph" w:styleId="MTH9">
    <w:name w:val="MT H9"/>
    <w:basedOn w:val="Normal"/>
    <w:next w:val="Normal"/>
    <w:qFormat/>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H8">
    <w:name w:val="MT H8"/>
    <w:basedOn w:val="Normal"/>
    <w:next w:val="Normal"/>
    <w:qFormat/>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7">
    <w:name w:val="MT H7"/>
    <w:basedOn w:val="Normal"/>
    <w:next w:val="Normal"/>
    <w:qFormat/>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6">
    <w:name w:val="MT H6"/>
    <w:basedOn w:val="MTH5"/>
    <w:qFormat/>
    <w:pPr/>
    <w:rPr/>
  </w:style>
  <w:style w:type="paragraph" w:styleId="MTH5">
    <w:name w:val="MT H5"/>
    <w:basedOn w:val="MTH4"/>
    <w:qFormat/>
    <w:pPr/>
    <w:rPr/>
  </w:style>
  <w:style w:type="paragraph" w:styleId="MTH4">
    <w:name w:val="MT H4"/>
    <w:basedOn w:val="MTH3"/>
    <w:qFormat/>
    <w:pPr>
      <w:spacing w:before="0" w:after="150"/>
    </w:pPr>
    <w:rPr/>
  </w:style>
  <w:style w:type="paragraph" w:styleId="MTH3">
    <w:name w:val="MT H3"/>
    <w:basedOn w:val="MTH2"/>
    <w:qFormat/>
    <w:pPr>
      <w:keepNext w:val="false"/>
      <w:spacing w:before="90" w:after="150"/>
      <w:jc w:val="both"/>
    </w:pPr>
    <w:rPr>
      <w:b w:val="false"/>
    </w:rPr>
  </w:style>
  <w:style w:type="paragraph" w:styleId="MTH2">
    <w:name w:val="MT H2"/>
    <w:basedOn w:val="Normal"/>
    <w:next w:val="Normal"/>
    <w:qFormat/>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1">
    <w:name w:val="MT H1"/>
    <w:basedOn w:val="Normal"/>
    <w:next w:val="MTH2"/>
    <w:qFormat/>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numbering" w:styleId="Bullet">
    <w:name w:val="Bullet •"/>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ca4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LibreOffice/6.4.3.2$MacOSX_X86_64 LibreOffice_project/747b5d0ebf89f41c860ec2a39efd7cb15b54f2d8</Application>
  <Pages>12</Pages>
  <Words>2140</Words>
  <Characters>12105</Characters>
  <CharactersWithSpaces>14016</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2020-10-02T16:25:16Z</dcterms:modified>
  <cp:revision>224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#4850-3750-8218v1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