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12"/>
        <w:gridCol w:w="6143"/>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5665" cy="1239520"/>
                      <wp:effectExtent l="0" t="0" r="0" b="0"/>
                      <wp:wrapNone/>
                      <wp:docPr id="1" name="Shape1"/>
                      <a:graphic xmlns:a="http://schemas.openxmlformats.org/drawingml/2006/main">
                        <a:graphicData uri="http://schemas.microsoft.com/office/word/2010/wordprocessingShape">
                          <wps:wsp>
                            <wps:cNvSpPr/>
                            <wps:spPr>
                              <a:xfrm>
                                <a:off x="0" y="0"/>
                                <a:ext cx="59551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8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207010</wp:posOffset>
                      </wp:positionV>
                      <wp:extent cx="252730" cy="176530"/>
                      <wp:effectExtent l="0" t="0" r="9525" b="9525"/>
                      <wp:wrapNone/>
                      <wp:docPr id="3" name="Text Box 3"/>
                      <a:graphic xmlns:a="http://schemas.openxmlformats.org/drawingml/2006/main">
                        <a:graphicData uri="http://schemas.microsoft.com/office/word/2010/wordprocessingShape">
                          <wps:wsp>
                            <wps:cNvSpPr/>
                            <wps:spPr>
                              <a:xfrm>
                                <a:off x="0" y="0"/>
                                <a:ext cx="252000" cy="17604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6.3pt;width:19.8pt;height:13.8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Amendment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Business T</w:t>
            </w:r>
            <w:bookmarkStart w:id="0" w:name="_GoBack"/>
            <w:bookmarkEnd w:id="0"/>
            <w:r>
              <w:rPr>
                <w:rFonts w:ascii="DejaVu Serif" w:hAnsi="DejaVu Serif"/>
                <w:b/>
                <w:color w:val="000000" w:themeColor="text1"/>
                <w:lang w:val="en-US"/>
              </w:rPr>
              <w: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12"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43"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(UT-B)</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1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4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12"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43"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AMENDMENT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3" w:name="_Toc525831034"/>
      <w:r>
        <w:rPr>
          <w:rFonts w:ascii="DejaVu Serif" w:hAnsi="DejaVu Serif"/>
        </w:rPr>
        <w:t>Definitions</w:t>
      </w:r>
      <w:bookmarkEnd w:id="3"/>
    </w:p>
    <w:p>
      <w:pPr>
        <w:pStyle w:val="AWGBodyText2C"/>
        <w:numPr>
          <w:ilvl w:val="0"/>
          <w:numId w:val="0"/>
        </w:numPr>
        <w:ind w:left="454" w:hanging="0"/>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0"/>
        </w:numPr>
        <w:ind w:left="454" w:hanging="0"/>
        <w:rPr/>
      </w:pPr>
      <w:r>
        <w:rPr>
          <w:rFonts w:ascii="DejaVu Serif" w:hAnsi="DejaVu Serif"/>
          <w:b/>
        </w:rPr>
        <w:t>Beneficiary</w:t>
      </w:r>
      <w:r>
        <w:rPr>
          <w:rFonts w:ascii="DejaVu Serif" w:hAnsi="DejaVu Serif"/>
        </w:rPr>
        <w:t xml:space="preserve"> means the person identified as the ‘Beneficiary’ in </w:t>
      </w:r>
      <w:bookmarkStart w:id="4" w:name="__DdeLink__954_1916084095"/>
      <w:r>
        <w:rPr>
          <w:rFonts w:ascii="DejaVu Serif" w:hAnsi="DejaVu Serif"/>
        </w:rPr>
        <w:t>Schedule</w:t>
      </w:r>
      <w:bookmarkEnd w:id="4"/>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0"/>
        </w:numPr>
        <w:ind w:left="454" w:hanging="0"/>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p>
    <w:p>
      <w:pPr>
        <w:pStyle w:val="AWGDef2C"/>
        <w:numPr>
          <w:ilvl w:val="0"/>
          <w:numId w:val="0"/>
        </w:numPr>
        <w:ind w:left="454" w:hanging="0"/>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0"/>
        </w:numPr>
        <w:ind w:left="454" w:hanging="0"/>
        <w:rPr/>
      </w:pPr>
      <w:r>
        <w:rPr>
          <w:rFonts w:ascii="DejaVu Serif" w:hAnsi="DejaVu Serif"/>
          <w:b/>
        </w:rPr>
        <w:t xml:space="preserve">GATS Trust Instrument </w:t>
      </w:r>
      <w:r>
        <w:rPr>
          <w:rFonts w:ascii="DejaVu Serif" w:hAnsi="DejaVu Serif"/>
        </w:rPr>
        <w:t>means the GATS Trust Instrument relating to the GATS Trust between the Beneficiary and the Trustee, as amended, supplemented, assigned and transferred from time to time prior to the effectiveness of this Instrument as</w:t>
      </w:r>
      <w:r>
        <w:rPr>
          <w:rFonts w:ascii="DejaVu Serif" w:hAnsi="DejaVu Serif"/>
          <w:lang w:val="en-US"/>
        </w:rPr>
        <w:t xml:space="preserve">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0"/>
        </w:numPr>
        <w:ind w:left="454" w:hanging="0"/>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3"/>
        </w:numPr>
        <w:rPr>
          <w:rFonts w:ascii="DejaVu Serif" w:hAnsi="DejaVu Serif"/>
        </w:rPr>
      </w:pPr>
      <w:r>
        <w:rPr>
          <w:rFonts w:ascii="DejaVu Serif" w:hAnsi="DejaVu Serif"/>
          <w:lang w:val="en-US"/>
        </w:rPr>
        <w:t>Permitted GATS Amendments</w:t>
      </w:r>
    </w:p>
    <w:p>
      <w:pPr>
        <w:pStyle w:val="AWGNumberedListAlt32C"/>
        <w:numPr>
          <w:ilvl w:val="3"/>
          <w:numId w:val="3"/>
        </w:numPr>
        <w:rPr>
          <w:rFonts w:ascii="DejaVu Serif" w:hAnsi="DejaVu Serif"/>
        </w:rPr>
      </w:pPr>
      <w:r>
        <w:rPr>
          <w:rFonts w:ascii="DejaVu Serif" w:hAnsi="DejaVu Serif"/>
        </w:rPr>
        <w:t>With effect from the Effective Time:</w:t>
      </w:r>
    </w:p>
    <w:p>
      <w:pPr>
        <w:pStyle w:val="AWGNumberedListAlt42C"/>
        <w:numPr>
          <w:ilvl w:val="5"/>
          <w:numId w:val="3"/>
        </w:numPr>
        <w:rPr/>
      </w:pPr>
      <w:r>
        <w:rPr>
          <w:rFonts w:ascii="DejaVu Serif" w:hAnsi="DejaVu Serif"/>
        </w:rPr>
        <w:t>to the extent not identical, schedule 2 (</w:t>
      </w:r>
      <w:r>
        <w:rPr>
          <w:rFonts w:ascii="DejaVu Serif" w:hAnsi="DejaVu Serif"/>
          <w:i/>
        </w:rPr>
        <w:t>Party Details</w:t>
      </w:r>
      <w:r>
        <w:rPr>
          <w:rFonts w:ascii="DejaVu Serif" w:hAnsi="DejaVu Serif"/>
        </w:rPr>
        <w:t>) to the GATS Trust Instrument shall be deleted in its entirety and replaced with Schedule 2 (</w:t>
      </w:r>
      <w:r>
        <w:rPr>
          <w:rFonts w:ascii="DejaVu Serif" w:hAnsi="DejaVu Serif"/>
          <w:i/>
        </w:rPr>
        <w:t>Party Details</w:t>
      </w:r>
      <w:r>
        <w:rPr>
          <w:rFonts w:ascii="DejaVu Serif" w:hAnsi="DejaVu Serif"/>
        </w:rPr>
        <w:t>); and</w:t>
      </w:r>
    </w:p>
    <w:p>
      <w:pPr>
        <w:pStyle w:val="AWGNumberedListAlt42C"/>
        <w:numPr>
          <w:ilvl w:val="5"/>
          <w:numId w:val="3"/>
        </w:numPr>
        <w:rPr/>
      </w:pPr>
      <w:r>
        <w:rPr>
          <w:rFonts w:ascii="DejaVu Serif" w:hAnsi="DejaVu Serif"/>
          <w:lang w:val="en-US"/>
        </w:rPr>
        <w:t>the GATS Trust Instrument is amended in accordance with Schedule 3 (</w:t>
      </w:r>
      <w:r>
        <w:rPr>
          <w:rFonts w:ascii="DejaVu Serif" w:hAnsi="DejaVu Serif"/>
          <w:i/>
        </w:rPr>
        <w:t>Amendments</w:t>
      </w:r>
      <w:r>
        <w:rPr>
          <w:rFonts w:ascii="DejaVu Serif" w:hAnsi="DejaVu Serif"/>
          <w:lang w:val="en-US"/>
        </w:rPr>
        <w:t xml:space="preserve">). </w:t>
      </w:r>
    </w:p>
    <w:p>
      <w:pPr>
        <w:pStyle w:val="AWGNumberedListAlt32C"/>
        <w:numPr>
          <w:ilvl w:val="3"/>
          <w:numId w:val="3"/>
        </w:numPr>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Alt32C"/>
        <w:numPr>
          <w:ilvl w:val="3"/>
          <w:numId w:val="3"/>
        </w:numPr>
        <w:rPr>
          <w:rFonts w:ascii="DejaVu Serif" w:hAnsi="DejaVu Serif"/>
        </w:rPr>
      </w:pPr>
      <w:r>
        <w:rPr>
          <w:rFonts w:ascii="DejaVu Serif" w:hAnsi="DejaVu Serif"/>
          <w:lang w:val="en-US"/>
        </w:rPr>
        <w:t xml:space="preserve">The </w:t>
      </w:r>
      <w:r>
        <w:rPr>
          <w:rFonts w:ascii="DejaVu Serif" w:hAnsi="DejaVu Serif"/>
        </w:rPr>
        <w:t>Beneficiary</w:t>
      </w:r>
      <w:r>
        <w:rPr>
          <w:rFonts w:ascii="DejaVu Serif" w:hAnsi="DejaVu Serif"/>
          <w:lang w:val="en-US"/>
        </w:rPr>
        <w:t xml:space="preserve"> represents and warrants in favor of:</w:t>
      </w:r>
    </w:p>
    <w:p>
      <w:pPr>
        <w:pStyle w:val="AWGNumberedListAlt42C"/>
        <w:numPr>
          <w:ilvl w:val="5"/>
          <w:numId w:val="3"/>
        </w:numPr>
        <w:rPr>
          <w:rFonts w:ascii="DejaVu Serif" w:hAnsi="DejaVu Serif"/>
        </w:rPr>
      </w:pPr>
      <w:r>
        <w:rPr>
          <w:rFonts w:ascii="DejaVu Serif" w:hAnsi="DejaVu Serif"/>
        </w:rPr>
        <w:t>the Trustee and, if any, the GATS Secured Party that, as of the Effective Time, the amendments effected by this Instrument are Permitted GATS Amendments; and</w:t>
      </w:r>
    </w:p>
    <w:p>
      <w:pPr>
        <w:pStyle w:val="AWGNumberedListAlt42C"/>
        <w:numPr>
          <w:ilvl w:val="5"/>
          <w:numId w:val="3"/>
        </w:numPr>
        <w:rPr>
          <w:rFonts w:ascii="DejaVu Serif" w:hAnsi="DejaVu Serif"/>
        </w:rPr>
      </w:pPr>
      <w:r>
        <w:rPr>
          <w:rFonts w:ascii="DejaVu Serif" w:hAnsi="DejaVu Serif"/>
        </w:rPr>
        <w:t xml:space="preserve">the Trustee that, </w:t>
      </w:r>
      <w:r>
        <w:rPr>
          <w:rFonts w:ascii="DejaVu Serif" w:hAnsi="DejaVu Serif"/>
          <w:lang w:val="en-US"/>
        </w:rPr>
        <w:t xml:space="preserve">as of the Effective Time </w:t>
      </w:r>
      <w:r>
        <w:rPr>
          <w:rFonts w:ascii="DejaVu Serif" w:hAnsi="DejaVu Serif"/>
        </w:rPr>
        <w:t>and</w:t>
      </w:r>
      <w:r>
        <w:rPr>
          <w:rFonts w:ascii="DejaVu Serif" w:hAnsi="DejaVu Serif"/>
          <w:lang w:val="en-US"/>
        </w:rPr>
        <w:t xml:space="preserve"> to the extent that the consent of the GATS Secured Party is required pursuant to the terms of the GATS Security Documents,</w:t>
      </w:r>
      <w:r>
        <w:rPr>
          <w:rFonts w:ascii="DejaVu Serif" w:hAnsi="DejaVu Serif"/>
        </w:rPr>
        <w:t xml:space="preserve"> the GATS Secured Party, if any, has consented to the amendments effected by this Instrument in accordance with the terms of the GATS Security Documents.</w:t>
      </w:r>
    </w:p>
    <w:p>
      <w:pPr>
        <w:pStyle w:val="AWGNumberedList12C"/>
        <w:numPr>
          <w:ilvl w:val="0"/>
          <w:numId w:val="3"/>
        </w:numPr>
        <w:rPr>
          <w:rFonts w:ascii="DejaVu Serif" w:hAnsi="DejaVu Serif"/>
        </w:rPr>
      </w:pPr>
      <w:r>
        <w:rPr>
          <w:rFonts w:ascii="DejaVu Serif" w:hAnsi="DejaVu Serif"/>
        </w:rPr>
        <w:t>Further Assurance</w:t>
      </w:r>
    </w:p>
    <w:p>
      <w:pPr>
        <w:pStyle w:val="AWGBodyText12C"/>
        <w:numPr>
          <w:ilvl w:val="0"/>
          <w:numId w:val="0"/>
        </w:numPr>
        <w:ind w:left="908" w:hanging="0"/>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such other </w:t>
      </w:r>
      <w:r>
        <w:rPr>
          <w:rFonts w:ascii="DejaVu Serif" w:hAnsi="DejaVu Serif"/>
        </w:rPr>
        <w:t>and</w:t>
      </w:r>
      <w:r>
        <w:rPr>
          <w:rFonts w:ascii="DejaVu Serif" w:hAnsi="DejaVu Serif"/>
          <w:lang w:val="en-US"/>
        </w:rPr>
        <w:t xml:space="preserve"> further actions as may be reasonably necessary or appropriate to carry out the purposes and intent of this Instrument and to consummate the t</w:t>
      </w:r>
      <w:bookmarkStart w:id="5" w:name="_GoBack1"/>
      <w:bookmarkEnd w:id="5"/>
      <w:r>
        <w:rPr>
          <w:rFonts w:ascii="DejaVu Serif" w:hAnsi="DejaVu Serif"/>
          <w:lang w:val="en-US"/>
        </w:rPr>
        <w:t>ransactions contemplated by this Instrument.</w:t>
      </w:r>
    </w:p>
    <w:p>
      <w:pPr>
        <w:pStyle w:val="AWGNumberedList12C"/>
        <w:numPr>
          <w:ilvl w:val="0"/>
          <w:numId w:val="3"/>
        </w:numPr>
        <w:rPr>
          <w:rFonts w:ascii="DejaVu Serif" w:hAnsi="DejaVu Serif"/>
        </w:rPr>
      </w:pPr>
      <w:bookmarkStart w:id="6" w:name="_Toc525831076"/>
      <w:r>
        <w:rPr>
          <w:rFonts w:ascii="DejaVu Serif" w:hAnsi="DejaVu Serif"/>
        </w:rPr>
        <w:t>Miscellaneous</w:t>
      </w:r>
      <w:bookmarkEnd w:id="6"/>
    </w:p>
    <w:p>
      <w:pPr>
        <w:pStyle w:val="AWGNumberedList22C"/>
        <w:numPr>
          <w:ilvl w:val="1"/>
          <w:numId w:val="3"/>
        </w:numPr>
        <w:rPr>
          <w:rFonts w:ascii="DejaVu Serif" w:hAnsi="DejaVu Serif"/>
        </w:rPr>
      </w:pPr>
      <w:r>
        <w:rPr>
          <w:rFonts w:ascii="DejaVu Serif" w:hAnsi="DejaVu Serif"/>
          <w:lang w:val="en-US"/>
        </w:rPr>
        <w:t>Electronic and Digital Execution and Delivery</w:t>
      </w:r>
    </w:p>
    <w:p>
      <w:pPr>
        <w:pStyle w:val="AWGNumberedListAlt32C"/>
        <w:numPr>
          <w:ilvl w:val="3"/>
          <w:numId w:val="3"/>
        </w:numPr>
        <w:rPr>
          <w:rFonts w:ascii="DejaVu Serif" w:hAnsi="DejaVu Serif"/>
        </w:rPr>
      </w:pPr>
      <w:r>
        <w:rPr>
          <w:rFonts w:ascii="DejaVu Serif" w:hAnsi="DejaVu Serif"/>
          <w:lang w:val="en-US"/>
        </w:rPr>
        <w:t>Each party to this Instrument agrees that:</w:t>
      </w:r>
    </w:p>
    <w:p>
      <w:pPr>
        <w:pStyle w:val="AWGNumberedListAlt42C"/>
        <w:numPr>
          <w:ilvl w:val="5"/>
          <w:numId w:val="3"/>
        </w:numPr>
        <w:rPr>
          <w:rFonts w:ascii="DejaVu Serif" w:hAnsi="DejaVu Serif"/>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3"/>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3"/>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3"/>
        </w:numPr>
        <w:rPr/>
      </w:pPr>
      <w:bookmarkStart w:id="7"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7"/>
    </w:p>
    <w:p>
      <w:pPr>
        <w:pStyle w:val="AWGNumberedListAlt32C"/>
        <w:numPr>
          <w:ilvl w:val="3"/>
          <w:numId w:val="3"/>
        </w:numPr>
        <w:rPr/>
      </w:pPr>
      <w:bookmarkStart w:id="8" w:name="_Ref24458113"/>
      <w:bookmarkStart w:id="9" w:name="_Hlk25326583"/>
      <w:bookmarkEnd w:id="9"/>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8"/>
    </w:p>
    <w:p>
      <w:pPr>
        <w:pStyle w:val="AWGNumberedList22C"/>
        <w:numPr>
          <w:ilvl w:val="1"/>
          <w:numId w:val="3"/>
        </w:numPr>
        <w:rPr>
          <w:rFonts w:ascii="DejaVu Serif" w:hAnsi="DejaVu Serif"/>
        </w:rPr>
      </w:pPr>
      <w:r>
        <w:rPr>
          <w:rFonts w:ascii="DejaVu Serif" w:hAnsi="DejaVu Serif"/>
          <w:lang w:val="en-US"/>
        </w:rPr>
        <w:t>GATS Forms</w:t>
      </w:r>
    </w:p>
    <w:p>
      <w:pPr>
        <w:pStyle w:val="AWGBodyText12C"/>
        <w:numPr>
          <w:ilvl w:val="0"/>
          <w:numId w:val="0"/>
        </w:numPr>
        <w:ind w:left="908" w:hanging="0"/>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3"/>
        </w:numPr>
        <w:rPr>
          <w:rFonts w:ascii="DejaVu Serif" w:hAnsi="DejaVu Serif"/>
        </w:rPr>
      </w:pPr>
      <w:r>
        <w:rPr>
          <w:rFonts w:ascii="DejaVu Serif" w:hAnsi="DejaVu Serif"/>
          <w:lang w:val="en-US"/>
        </w:rPr>
        <w:t>Counterparts</w:t>
      </w:r>
    </w:p>
    <w:p>
      <w:pPr>
        <w:pStyle w:val="AWGBodyText12C"/>
        <w:numPr>
          <w:ilvl w:val="0"/>
          <w:numId w:val="0"/>
        </w:numPr>
        <w:ind w:left="908" w:hanging="0"/>
        <w:rPr>
          <w:rFonts w:ascii="DejaVu Serif" w:hAnsi="DejaVu Serif"/>
        </w:rPr>
      </w:pPr>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3"/>
        </w:numPr>
        <w:rPr>
          <w:rFonts w:ascii="DejaVu Serif" w:hAnsi="DejaVu Serif"/>
        </w:rPr>
      </w:pPr>
      <w:r>
        <w:rPr>
          <w:rFonts w:ascii="DejaVu Serif" w:hAnsi="DejaVu Serif"/>
          <w:lang w:val="en-US"/>
        </w:rPr>
        <w:t>Governing Law</w:t>
      </w:r>
    </w:p>
    <w:p>
      <w:pPr>
        <w:pStyle w:val="AWGBodyText12C"/>
        <w:numPr>
          <w:ilvl w:val="0"/>
          <w:numId w:val="0"/>
        </w:numPr>
        <w:ind w:left="908" w:hanging="0"/>
        <w:rPr>
          <w:rFonts w:ascii="DejaVu Serif" w:hAnsi="DejaVu Serif"/>
        </w:rPr>
      </w:pPr>
      <w:r>
        <w:rPr>
          <w:rFonts w:ascii="DejaVu Serif" w:hAnsi="DejaVu Serif"/>
        </w:rPr>
        <w:t xml:space="preserve">THIS INSTRUMENT SHALL IN ALL RESPECTS BE GOVERNED BY AND CONSTRUED IN ACCORDANCE WITH THE LAWS OF THE STATE OF UTAH, INCLUDING ALL MATTERS OF CONSTRUCTION, VALIDITY AND </w:t>
      </w:r>
      <w:r>
        <w:rPr>
          <w:rFonts w:ascii="DejaVu Serif" w:hAnsi="DejaVu Serif"/>
          <w:lang w:val="en-US"/>
        </w:rPr>
        <w:t>PERFORMANCE</w:t>
      </w:r>
      <w:r>
        <w:rPr>
          <w:rFonts w:ascii="DejaVu Serif" w:hAnsi="DejaVu Serif"/>
        </w:rPr>
        <w:t>, WITHOUT REGARD TO CONFLICTS OF LAWS PRINCIPLES THAT WOULD RESULT IN THE APPLICATION OF THE LAW OF ANOTHER JURISDICTION. THIS INSTRUMENT IS BEING DELIVERED IN THE STATE OF UTAH.</w:t>
      </w:r>
    </w:p>
    <w:p>
      <w:pPr>
        <w:pStyle w:val="AWGNumberedList22C"/>
        <w:numPr>
          <w:ilvl w:val="1"/>
          <w:numId w:val="3"/>
        </w:numPr>
        <w:rPr>
          <w:rFonts w:ascii="DejaVu Serif" w:hAnsi="DejaVu Serif"/>
        </w:rPr>
      </w:pPr>
      <w:bookmarkStart w:id="10" w:name="_Hlk26978622"/>
      <w:bookmarkStart w:id="11" w:name="_Hlk26978568"/>
      <w:bookmarkStart w:id="12" w:name="_Ref2679015"/>
      <w:r>
        <w:rPr>
          <w:rFonts w:ascii="DejaVu Serif" w:hAnsi="DejaVu Serif"/>
          <w:lang w:val="en-US"/>
        </w:rPr>
        <w:t>Waiver of Jury Trial</w:t>
      </w:r>
      <w:bookmarkEnd w:id="12"/>
    </w:p>
    <w:p>
      <w:pPr>
        <w:pStyle w:val="AWGBodyText12C"/>
        <w:numPr>
          <w:ilvl w:val="0"/>
          <w:numId w:val="0"/>
        </w:numPr>
        <w:ind w:left="908" w:hanging="0"/>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11"/>
      <w:r>
        <w:rPr>
          <w:rFonts w:ascii="DejaVu Serif" w:hAnsi="DejaVu Serif"/>
          <w:lang w:val="en-US"/>
        </w:rPr>
        <w:t>.</w:t>
      </w:r>
      <w:bookmarkEnd w:id="10"/>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rFonts w:ascii="DejaVu Serif" w:hAnsi="DejaVu Serif"/>
          <w:lang w:val="en-US"/>
        </w:rPr>
      </w:r>
    </w:p>
    <w:p>
      <w:pPr>
        <w:pStyle w:val="AWGBodyText"/>
        <w:jc w:val="center"/>
        <w:rPr>
          <w:rFonts w:ascii="DejaVu Serif" w:hAnsi="DejaVu Serif"/>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w:t>
      </w:r>
      <w:bookmarkStart w:id="13" w:name="_Hlk26976180"/>
      <w:r>
        <w:rPr>
          <w:rFonts w:ascii="DejaVu Serif" w:hAnsi="DejaVu Serif"/>
          <w:lang w:val="en-US"/>
        </w:rPr>
        <w:t>on the date on which the Effective Time occurred</w:t>
      </w:r>
      <w:bookmarkEnd w:id="13"/>
      <w:r>
        <w:rPr>
          <w:rFonts w:ascii="DejaVu Serif" w:hAnsi="DejaVu Serif"/>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2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0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14" w:name="__DdeLink__985_3327265488"/>
            <w:bookmarkEnd w:id="14"/>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440"/>
        <w:gridCol w:w="144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44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791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16" w:name="_Ref521431447"/>
      <w:r>
        <w:rPr>
          <w:rFonts w:ascii="DejaVu Serif" w:hAnsi="DejaVu Serif"/>
          <w:lang w:val="en-US"/>
        </w:rPr>
        <w:br/>
      </w:r>
      <w:bookmarkStart w:id="17" w:name="_Ref530342056"/>
      <w:bookmarkEnd w:id="16"/>
      <w:r>
        <w:rPr>
          <w:rFonts w:ascii="DejaVu Serif" w:hAnsi="DejaVu Serif"/>
          <w:lang w:val="en-US"/>
        </w:rPr>
        <w:t>Description of GATS Trust</w:t>
      </w:r>
      <w:bookmarkEnd w:id="17"/>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Utah business trust (US-UT-B)</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19" w:name="_Ref29981434"/>
      <w:r>
        <w:rPr>
          <w:rFonts w:ascii="DejaVu Serif" w:hAnsi="DejaVu Serif"/>
          <w:lang w:val="en-US"/>
        </w:rPr>
        <w:t>Party Details</w:t>
      </w:r>
      <w:bookmarkEnd w:id="19"/>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right w:val="nil"/>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right w:val="nil"/>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AWGBodyText"/>
        <w:rPr>
          <w:rFonts w:ascii="DejaVu Serif" w:hAnsi="DejaVu Serif"/>
          <w:sz w:val="18"/>
        </w:rPr>
      </w:pPr>
      <w:r>
        <w:rPr>
          <w:rFonts w:ascii="DejaVu Serif" w:hAnsi="DejaVu Serif"/>
          <w:sz w:val="18"/>
        </w:rPr>
      </w:r>
      <w:r>
        <w:br w:type="page"/>
      </w:r>
    </w:p>
    <w:p>
      <w:pPr>
        <w:pStyle w:val="AWGBodyText"/>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right w:val="nil"/>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2</w:t>
            </w:r>
          </w:p>
        </w:tc>
        <w:tc>
          <w:tcPr>
            <w:tcW w:w="3498" w:type="dxa"/>
            <w:tcBorders>
              <w:right w:val="nil"/>
            </w:tcBorders>
            <w:shd w:fill="auto" w:val="clear"/>
          </w:tcPr>
          <w:p>
            <w:pPr>
              <w:pStyle w:val="AWGBodyText"/>
              <w:spacing w:lineRule="auto" w:line="240" w:before="0" w:after="0"/>
              <w:jc w:val="left"/>
              <w:rPr>
                <w:rFonts w:ascii="DejaVu Serif" w:hAnsi="DejaVu Serif" w:eastAsia="Calibri" w:cs="" w:cstheme="minorBidi" w:eastAsiaTheme="minorHAnsi"/>
                <w:b/>
                <w:b/>
                <w:color w:val="auto"/>
                <w:kern w:val="0"/>
                <w:sz w:val="18"/>
                <w:szCs w:val="20"/>
                <w:lang w:val="en-US" w:eastAsia="ja-JP" w:bidi="ar-SA"/>
              </w:rPr>
            </w:pPr>
            <w:r>
              <w:rPr>
                <w:rFonts w:eastAsia="Calibri" w:cs="" w:ascii="DejaVu Serif" w:hAnsi="DejaVu Serif" w:cstheme="minorBidi" w:eastAsiaTheme="minorHAnsi"/>
                <w:b/>
                <w:color w:val="auto"/>
                <w:kern w:val="0"/>
                <w:sz w:val="18"/>
                <w:szCs w:val="20"/>
                <w:lang w:val="en-US" w:eastAsia="ja-JP" w:bidi="ar-SA"/>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address</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Email:</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email</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1" w:name="_Ref531246835"/>
      <w:r>
        <w:rPr>
          <w:rFonts w:ascii="DejaVu Serif" w:hAnsi="DejaVu Serif"/>
          <w:lang w:val="en-US"/>
        </w:rPr>
        <w:t>Amendments</w:t>
      </w:r>
      <w:bookmarkEnd w:id="21"/>
    </w:p>
    <w:p>
      <w:pPr>
        <w:pStyle w:val="AWGSchedulePart"/>
        <w:numPr>
          <w:ilvl w:val="1"/>
          <w:numId w:val="2"/>
        </w:numPr>
        <w:rPr>
          <w:rFonts w:ascii="DejaVu Serif" w:hAnsi="DejaVu Serif"/>
        </w:rPr>
      </w:pPr>
      <w:r>
        <w:rPr>
          <w:rFonts w:ascii="DejaVu Serif" w:hAnsi="DejaVu Serif"/>
        </w:rPr>
        <w:br/>
        <w:t>Amendments to Aircraft Equipment</w:t>
      </w:r>
    </w:p>
    <w:p>
      <w:pPr>
        <w:pStyle w:val="AWGBodyText"/>
        <w:jc w:val="center"/>
        <w:rPr>
          <w:rFonts w:ascii="DejaVu Serif" w:hAnsi="DejaVu Serif"/>
        </w:rPr>
      </w:pPr>
      <w:commentRangeStart w:id="4"/>
      <w:r>
        <w:rPr>
          <w:rFonts w:ascii="DejaVu Serif" w:hAnsi="DejaVu Serif"/>
          <w:color w:val="000000"/>
        </w:rPr>
        <w:t>N/A</w:t>
      </w:r>
      <w:commentRangeEnd w:id="4"/>
      <w:r>
        <w:commentReference w:id="4"/>
      </w:r>
      <w:r>
        <w:rPr>
          <w:rFonts w:ascii="DejaVu Serif" w:hAnsi="DejaVu Serif"/>
          <w:color w:val="000000"/>
        </w:rPr>
      </w:r>
    </w:p>
    <w:p>
      <w:pPr>
        <w:pStyle w:val="AWGBodyText"/>
        <w:rPr>
          <w:rFonts w:ascii="DejaVu Serif" w:hAnsi="DejaVu Serif"/>
        </w:rPr>
      </w:pPr>
      <w:commentRangeStart w:id="5"/>
      <w:r>
        <w:rPr>
          <w:rFonts w:ascii="DejaVu Serif" w:hAnsi="DejaVu Serif"/>
        </w:rPr>
        <w:t>Schedule 3 (</w:t>
      </w:r>
      <w:r>
        <w:rPr>
          <w:rFonts w:ascii="DejaVu Serif" w:hAnsi="DejaVu Serif"/>
          <w:i/>
        </w:rPr>
        <w:t>Aircraft Equipment</w:t>
      </w:r>
      <w:r>
        <w:rPr>
          <w:rFonts w:ascii="DejaVu Serif" w:hAnsi="DejaVu Serif"/>
        </w:rPr>
        <w:t>) to the GATS Trust Instrument shall be deleted in its entirety and replaced with the following:</w:t>
      </w:r>
      <w:commentRangeEnd w:id="5"/>
      <w:r>
        <w:commentReference w:id="5"/>
      </w:r>
      <w:r>
        <w:rPr>
          <w:rFonts w:ascii="DejaVu Serif" w:hAnsi="DejaVu Serif"/>
        </w:rPr>
      </w:r>
    </w:p>
    <w:p>
      <w:pPr>
        <w:pStyle w:val="Normal"/>
        <w:spacing w:before="120" w:after="120"/>
        <w:jc w:val="center"/>
        <w:rPr>
          <w:rFonts w:ascii="DejaVu Serif" w:hAnsi="DejaVu Serif"/>
        </w:rPr>
      </w:pPr>
      <w:commentRangeStart w:id="6"/>
      <w:r>
        <w:rPr>
          <w:rFonts w:ascii="DejaVu Serif" w:hAnsi="DejaVu Serif"/>
        </w:rPr>
        <w:t>START AMENDED TEXT</w:t>
      </w:r>
      <w:commentRangeEnd w:id="6"/>
      <w:r>
        <w:commentReference w:id="6"/>
      </w:r>
      <w:r>
        <w:rPr>
          <w:rFonts w:ascii="DejaVu Serif" w:hAnsi="DejaVu Serif"/>
        </w:rPr>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7"/>
            <w:r>
              <w:rPr>
                <w:rFonts w:ascii="DejaVu Serif" w:hAnsi="DejaVu Serif"/>
                <w:b/>
                <w:lang w:val="en-US"/>
              </w:rPr>
              <w:t>[***]</w:t>
            </w:r>
            <w:commentRangeEnd w:id="7"/>
            <w:r>
              <w:commentReference w:id="7"/>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8"/>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8"/>
            <w:r>
              <w:commentReference w:id="8"/>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rPr>
      </w:pPr>
      <w:commentRangeStart w:id="11"/>
      <w:r>
        <w:rPr>
          <w:rFonts w:ascii="DejaVu Serif" w:hAnsi="DejaVu Serif"/>
          <w:lang w:val="en-US"/>
        </w:rPr>
        <w:t>[***]</w:t>
        <w:tab/>
        <w:t>NOTE: only applicable where the aircraft equipment type is an aircraft engine associated with an aircraft or helicopter (‘LINKED AE’).</w:t>
      </w:r>
      <w:bookmarkStart w:id="22" w:name="_Hlk29548407"/>
      <w:bookmarkEnd w:id="22"/>
      <w:commentRangeEnd w:id="11"/>
      <w:r>
        <w:commentReference w:id="11"/>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2"/>
      <w:r>
        <w:rPr>
          <w:rFonts w:ascii="DejaVu Serif" w:hAnsi="DejaVu Serif"/>
          <w:color w:val="000000"/>
        </w:rPr>
        <w:t>NONE</w:t>
      </w:r>
      <w:commentRangeEnd w:id="12"/>
      <w:r>
        <w:commentReference w:id="12"/>
      </w:r>
      <w:r>
        <w:rPr>
          <w:rFonts w:ascii="DejaVu Serif" w:hAnsi="DejaVu Serif"/>
          <w:color w:val="000000"/>
        </w:rPr>
      </w:r>
    </w:p>
    <w:p>
      <w:pPr>
        <w:pStyle w:val="Normal"/>
        <w:spacing w:before="120" w:after="0"/>
        <w:jc w:val="center"/>
        <w:rPr>
          <w:rFonts w:ascii="DejaVu Serif" w:hAnsi="DejaVu Serif"/>
          <w:color w:val="000000"/>
        </w:rPr>
      </w:pPr>
      <w:r>
        <w:rPr>
          <w:rFonts w:ascii="DejaVu Serif" w:hAnsi="DejaVu Serif"/>
          <w:color w:val="000000"/>
        </w:rPr>
      </w:r>
    </w:p>
    <w:p>
      <w:pPr>
        <w:pStyle w:val="Normal"/>
        <w:spacing w:before="120" w:after="120"/>
        <w:jc w:val="center"/>
        <w:rPr>
          <w:rFonts w:ascii="DejaVu Serif" w:hAnsi="DejaVu Serif"/>
        </w:rPr>
      </w:pPr>
      <w:commentRangeStart w:id="13"/>
      <w:r>
        <w:rPr>
          <w:rFonts w:ascii="DejaVu Serif" w:hAnsi="DejaVu Serif"/>
        </w:rPr>
        <w:t>END AMENDED TEXT</w:t>
      </w:r>
      <w:commentRangeEnd w:id="13"/>
      <w:r>
        <w:commentReference w:id="13"/>
      </w:r>
      <w:r>
        <w:rPr>
          <w:rFonts w:ascii="DejaVu Serif" w:hAnsi="DejaVu Serif"/>
        </w:rPr>
      </w:r>
    </w:p>
    <w:p>
      <w:pPr>
        <w:pStyle w:val="Normal"/>
        <w:spacing w:before="120" w:after="120"/>
        <w:jc w:val="center"/>
        <w:rPr>
          <w:rFonts w:ascii="DejaVu Serif" w:hAnsi="DejaVu Serif"/>
        </w:rPr>
      </w:pPr>
      <w:r>
        <w:rPr>
          <w:rFonts w:ascii="DejaVu Serif" w:hAnsi="DejaVu Serif"/>
        </w:rPr>
      </w:r>
      <w:r>
        <w:br w:type="page"/>
      </w:r>
    </w:p>
    <w:p>
      <w:pPr>
        <w:pStyle w:val="AWGSchedulePart"/>
        <w:numPr>
          <w:ilvl w:val="1"/>
          <w:numId w:val="2"/>
        </w:numPr>
        <w:rPr>
          <w:rFonts w:ascii="DejaVu Serif" w:hAnsi="DejaVu Serif"/>
        </w:rPr>
      </w:pPr>
      <w:r>
        <w:rPr>
          <w:rFonts w:ascii="DejaVu Serif" w:hAnsi="DejaVu Serif"/>
        </w:rPr>
        <w:br/>
        <w:t>Amendments to Description of Previous Trust Documents</w:t>
      </w:r>
    </w:p>
    <w:p>
      <w:pPr>
        <w:pStyle w:val="AWGBodyText"/>
        <w:jc w:val="center"/>
        <w:rPr>
          <w:rFonts w:ascii="DejaVu Serif" w:hAnsi="DejaVu Serif"/>
        </w:rPr>
      </w:pPr>
      <w:commentRangeStart w:id="14"/>
      <w:r>
        <w:rPr>
          <w:rFonts w:ascii="DejaVu Serif" w:hAnsi="DejaVu Serif"/>
          <w:color w:val="000000"/>
        </w:rPr>
        <w:t>N/A</w:t>
      </w:r>
      <w:commentRangeEnd w:id="14"/>
      <w:r>
        <w:commentReference w:id="14"/>
      </w:r>
      <w:r>
        <w:rPr>
          <w:rFonts w:ascii="DejaVu Serif" w:hAnsi="DejaVu Serif"/>
          <w:color w:val="000000"/>
        </w:rPr>
      </w:r>
    </w:p>
    <w:p>
      <w:pPr>
        <w:pStyle w:val="AWGBodyText"/>
        <w:rPr>
          <w:rFonts w:ascii="DejaVu Serif" w:hAnsi="DejaVu Serif"/>
        </w:rPr>
      </w:pPr>
      <w:commentRangeStart w:id="15"/>
      <w:r>
        <w:rPr>
          <w:rFonts w:ascii="DejaVu Serif" w:hAnsi="DejaVu Serif"/>
        </w:rPr>
        <w:t>Part 1 (</w:t>
      </w:r>
      <w:r>
        <w:rPr>
          <w:rFonts w:ascii="DejaVu Serif" w:hAnsi="DejaVu Serif"/>
          <w:i/>
        </w:rPr>
        <w:t>Description of Previous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commentRangeEnd w:id="15"/>
      <w:r>
        <w:commentReference w:id="15"/>
      </w:r>
      <w:r>
        <w:rPr>
          <w:rFonts w:ascii="DejaVu Serif" w:hAnsi="DejaVu Serif"/>
        </w:rPr>
      </w:r>
    </w:p>
    <w:p>
      <w:pPr>
        <w:pStyle w:val="AWGBodyText"/>
        <w:jc w:val="center"/>
        <w:rPr>
          <w:rFonts w:ascii="DejaVu Serif" w:hAnsi="DejaVu Serif"/>
        </w:rPr>
      </w:pPr>
      <w:commentRangeStart w:id="16"/>
      <w:r>
        <w:rPr>
          <w:rFonts w:ascii="DejaVu Serif" w:hAnsi="DejaVu Serif"/>
        </w:rPr>
        <w:t>START AMENDED TEXT</w:t>
      </w:r>
      <w:commentRangeEnd w:id="16"/>
      <w:r>
        <w:commentReference w:id="16"/>
      </w:r>
      <w:r>
        <w:rPr>
          <w:rFonts w:ascii="DejaVu Serif" w:hAnsi="DejaVu Serif"/>
        </w:rPr>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049"/>
        <w:gridCol w:w="6930"/>
      </w:tblGrid>
      <w:tr>
        <w:trPr/>
        <w:tc>
          <w:tcPr>
            <w:tcW w:w="377" w:type="dxa"/>
            <w:tcBorders>
              <w:bottom w:val="nil"/>
              <w:right w:val="nil"/>
            </w:tcBorders>
            <w:shd w:fill="auto" w:val="clear"/>
          </w:tcPr>
          <w:p>
            <w:pPr>
              <w:pStyle w:val="AWGBodyText"/>
              <w:numPr>
                <w:ilvl w:val="0"/>
                <w:numId w:val="4"/>
              </w:numPr>
              <w:spacing w:lineRule="auto" w:line="240" w:before="0" w:after="0"/>
              <w:ind w:left="142" w:hanging="142"/>
              <w:jc w:val="left"/>
              <w:rPr>
                <w:rFonts w:ascii="DejaVu Serif" w:hAnsi="DejaVu Serif"/>
                <w:sz w:val="18"/>
                <w:szCs w:val="18"/>
                <w:lang w:val="en-US"/>
              </w:rPr>
            </w:pPr>
            <w:commentRangeStart w:id="17"/>
            <w:r>
              <w:rPr>
                <w:rFonts w:ascii="DejaVu Serif" w:hAnsi="DejaVu Serif"/>
                <w:sz w:val="18"/>
                <w:szCs w:val="18"/>
                <w:lang w:val="en-US"/>
              </w:rPr>
            </w:r>
          </w:p>
        </w:tc>
        <w:tc>
          <w:tcPr>
            <w:tcW w:w="2049"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Name:</w:t>
            </w:r>
          </w:p>
        </w:tc>
        <w:tc>
          <w:tcPr>
            <w:tcW w:w="6930"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049"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Date:</w:t>
            </w:r>
          </w:p>
        </w:tc>
        <w:tc>
          <w:tcPr>
            <w:tcW w:w="6930"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049"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Parties:</w:t>
            </w:r>
          </w:p>
        </w:tc>
        <w:tc>
          <w:tcPr>
            <w:tcW w:w="6930" w:type="dxa"/>
            <w:tcBorders>
              <w:top w:val="nil"/>
            </w:tcBorders>
            <w:shd w:fill="auto" w:val="clear"/>
          </w:tcPr>
          <w:p>
            <w:pPr>
              <w:pStyle w:val="AWGBodyText"/>
              <w:spacing w:lineRule="auto" w:line="240" w:before="0" w:after="0"/>
              <w:jc w:val="left"/>
              <w:rPr/>
            </w:pPr>
            <w:r>
              <w:rPr>
                <w:rFonts w:ascii="DejaVu Serif" w:hAnsi="DejaVu Serif"/>
                <w:color w:val="000000"/>
                <w:sz w:val="18"/>
                <w:szCs w:val="18"/>
                <w:lang w:val="en-US"/>
              </w:rPr>
              <w:t>${parties}</w:t>
            </w:r>
            <w:commentRangeEnd w:id="17"/>
            <w:r>
              <w:commentReference w:id="17"/>
            </w:r>
            <w:r>
              <w:rPr>
                <w:rFonts w:ascii="DejaVu Serif" w:hAnsi="DejaVu Serif"/>
                <w:color w:val="000000"/>
                <w:sz w:val="18"/>
                <w:szCs w:val="18"/>
                <w:lang w:val="en-US"/>
              </w:rPr>
            </w:r>
          </w:p>
        </w:tc>
      </w:tr>
    </w:tbl>
    <w:p>
      <w:pPr>
        <w:pStyle w:val="Normal"/>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8"/>
      <w:r>
        <w:rPr>
          <w:rFonts w:ascii="DejaVu Serif" w:hAnsi="DejaVu Serif"/>
          <w:color w:val="000000"/>
        </w:rPr>
        <w:t>NONE</w:t>
      </w:r>
      <w:commentRangeEnd w:id="18"/>
      <w:r>
        <w:commentReference w:id="18"/>
      </w:r>
      <w:r>
        <w:rPr>
          <w:rFonts w:ascii="DejaVu Serif" w:hAnsi="DejaVu Serif"/>
          <w:color w:val="000000"/>
        </w:rPr>
      </w:r>
    </w:p>
    <w:p>
      <w:pPr>
        <w:pStyle w:val="Normal"/>
        <w:spacing w:before="120" w:after="0"/>
        <w:jc w:val="center"/>
        <w:rPr>
          <w:rFonts w:ascii="DejaVu Serif" w:hAnsi="DejaVu Serif"/>
          <w:color w:val="00B050"/>
        </w:rPr>
      </w:pPr>
      <w:r>
        <w:rPr>
          <w:rFonts w:ascii="DejaVu Serif" w:hAnsi="DejaVu Serif"/>
          <w:color w:val="00B050"/>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jc w:val="center"/>
        <w:rPr>
          <w:rFonts w:ascii="DejaVu Serif" w:hAnsi="DejaVu Serif"/>
        </w:rPr>
      </w:pPr>
      <w:commentRangeStart w:id="19"/>
      <w:r>
        <w:rPr>
          <w:rFonts w:ascii="DejaVu Serif" w:hAnsi="DejaVu Serif"/>
        </w:rPr>
        <w:t>END AMENDED TEXT</w:t>
      </w:r>
      <w:commentRangeEnd w:id="19"/>
      <w:r>
        <w:commentReference w:id="19"/>
      </w:r>
      <w:r>
        <w:rPr>
          <w:rFonts w:ascii="DejaVu Serif" w:hAnsi="DejaVu Serif"/>
        </w:rPr>
      </w:r>
    </w:p>
    <w:p>
      <w:pPr>
        <w:pStyle w:val="AWGScheduleHead"/>
        <w:numPr>
          <w:ilvl w:val="0"/>
          <w:numId w:val="2"/>
        </w:numPr>
        <w:rPr>
          <w:rFonts w:ascii="DejaVu Serif" w:hAnsi="DejaVu Serif"/>
        </w:rPr>
      </w:pPr>
      <w:r>
        <w:rPr>
          <w:rFonts w:ascii="DejaVu Serif" w:hAnsi="DejaVu Serif"/>
        </w:rPr>
        <w:br/>
      </w:r>
      <w:bookmarkStart w:id="24" w:name="_Ref26977811"/>
      <w:bookmarkStart w:id="25" w:name="_Ref534729962"/>
      <w:r>
        <w:rPr>
          <w:rFonts w:ascii="DejaVu Serif" w:hAnsi="DejaVu Serif"/>
        </w:rPr>
        <w:t xml:space="preserve">Amendments to Description of GATS Trust </w:t>
      </w:r>
      <w:bookmarkEnd w:id="25"/>
      <w:r>
        <w:rPr>
          <w:rFonts w:ascii="DejaVu Serif" w:hAnsi="DejaVu Serif"/>
        </w:rPr>
        <w:t>Documents</w:t>
      </w:r>
      <w:bookmarkEnd w:id="24"/>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sz w:val="18"/>
          <w:szCs w:val="18"/>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sz w:val="18"/>
                <w:szCs w:val="18"/>
                <w:lang w:val="en-US"/>
              </w:rPr>
            </w:pPr>
            <w:commentRangeStart w:id="20"/>
            <w:r>
              <w:rPr>
                <w:rFonts w:ascii="DejaVu Serif" w:hAnsi="DejaVu Serif"/>
                <w:sz w:val="18"/>
                <w:szCs w:val="18"/>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sz w:val="18"/>
                <w:szCs w:val="18"/>
              </w:rPr>
            </w:pPr>
            <w:r>
              <w:rPr>
                <w:rFonts w:eastAsia="Calibri" w:cs="" w:ascii="DejaVu Serif" w:hAnsi="DejaVu Serif" w:cstheme="minorBidi" w:eastAsiaTheme="minorHAnsi"/>
                <w:color w:val="auto"/>
                <w:kern w:val="0"/>
                <w:sz w:val="18"/>
                <w:szCs w:val="18"/>
                <w:lang w:val="en-US" w:eastAsia="ja-JP" w:bidi="ar-SA"/>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 w:val="18"/>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sz w:val="18"/>
                <w:szCs w:val="18"/>
                <w:lang w:val="en-US"/>
              </w:rPr>
              <w:t>Trust Branch:</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sz w:val="18"/>
                <w:szCs w:val="18"/>
                <w:lang w:val="en-US"/>
              </w:rPr>
              <w:t>United States; Utah business trust (US-UT-B)</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sz w:val="18"/>
                <w:szCs w:val="18"/>
              </w:rPr>
              <w:t>GATS Form Version:</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sz w:val="18"/>
                <w:szCs w:val="18"/>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commentRangeEnd w:id="20"/>
            <w:r>
              <w:commentReference w:id="20"/>
            </w:r>
            <w:r>
              <w:rPr>
                <w:rFonts w:ascii="DejaVu Serif" w:hAnsi="DejaVu Serif"/>
                <w:color w:val="000000"/>
                <w:sz w:val="18"/>
                <w:szCs w:val="18"/>
                <w:lang w:val="en-US"/>
              </w:rPr>
            </w:r>
          </w:p>
        </w:tc>
      </w:tr>
    </w:tbl>
    <w:p>
      <w:pPr>
        <w:pStyle w:val="Normal"/>
        <w:spacing w:before="120" w:after="120"/>
        <w:jc w:val="center"/>
        <w:rPr>
          <w:rFonts w:ascii="DejaVu Serif" w:hAnsi="DejaVu Serif"/>
          <w:sz w:val="18"/>
          <w:szCs w:val="18"/>
        </w:rPr>
      </w:pPr>
      <w:r>
        <w:rPr>
          <w:rFonts w:ascii="DejaVu Serif" w:hAnsi="DejaVu Serif"/>
          <w:sz w:val="18"/>
          <w:szCs w:val="18"/>
        </w:rPr>
      </w:r>
    </w:p>
    <w:p>
      <w:pPr>
        <w:pStyle w:val="Normal"/>
        <w:spacing w:before="120" w:after="120"/>
        <w:jc w:val="center"/>
        <w:rPr>
          <w:rFonts w:ascii="DejaVu Serif" w:hAnsi="DejaVu Serif"/>
        </w:rPr>
      </w:pPr>
      <w:r>
        <w:rPr>
          <w:rFonts w:ascii="DejaVu Serif" w:hAnsi="DejaVu Serif"/>
          <w:sz w:val="18"/>
          <w:szCs w:val="18"/>
        </w:rPr>
        <w:t>END AMENDED TEXT</w:t>
      </w:r>
    </w:p>
    <w:p>
      <w:pPr>
        <w:pStyle w:val="Normal"/>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2:12:3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2:13:1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1-31T12:42:4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5" w:author="Unknown Author" w:date="2020-02-08T13:58:1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6" w:author="Unknown Author" w:date="2020-02-08T13:58: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7" w:author="Unknown Author" w:date="2020-02-08T13:58:3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8" w:author="Unknown Author" w:date="2020-02-08T13:59:0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9" w:author="Unknown Author" w:date="2020-02-08T13:59: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0" w:author="Unknown Author" w:date="2020-02-08T13:59: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1" w:author="Unknown Author" w:date="2020-02-08T13:59:2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2" w:author="Unknown Author" w:date="2020-02-03T12:07: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 0)</w:t>
      </w:r>
    </w:p>
  </w:comment>
  <w:comment w:id="13" w:author="Unknown Author" w:date="2020-01-31T12:41: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14" w:author="Unknown Author" w:date="2020-02-03T09:43: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5" w:author="Unknown Author" w:date="2020-01-31T12:30:4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6" w:author="Unknown Author" w:date="2020-01-31T12:35:3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7" w:author="Unknown Author" w:date="2020-02-08T14:01: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(previousDocuments)</w:t>
      </w:r>
    </w:p>
  </w:comment>
  <w:comment w:id="18" w:author="Unknown Author" w:date="2020-01-31T12:36: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(existsAmendmentDocuments &amp;&amp; previousDocuments.size() == 0)</w:t>
      </w:r>
    </w:p>
  </w:comment>
  <w:comment w:id="19" w:author="Unknown Author" w:date="2020-01-31T12:36:3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20" w:author="Unknown Author" w:date="2020-02-08T14:03:0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952642119"/>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5" w:name="__DdeLink__945_371514061012"/>
          <w:r>
            <w:rPr>
              <w:sz w:val="18"/>
              <w:szCs w:val="18"/>
            </w:rPr>
            <w:t>GATS Form Version:</w:t>
          </w:r>
          <w:bookmarkEnd w:id="1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8" w:name="__DdeLink__945_371514061011111"/>
          <w:r>
            <w:rPr>
              <w:sz w:val="18"/>
              <w:szCs w:val="18"/>
            </w:rPr>
            <w:t>GATS Form Version:</w:t>
          </w:r>
          <w:bookmarkEnd w:id="1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0" w:name="__DdeLink__945_3715140610121"/>
          <w:r>
            <w:rPr>
              <w:sz w:val="18"/>
              <w:szCs w:val="18"/>
            </w:rPr>
            <w:t>GATS Form Version:</w:t>
          </w:r>
          <w:bookmarkEnd w:id="2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3" w:name="__DdeLink__945_37151406101212"/>
          <w:r>
            <w:rPr>
              <w:sz w:val="18"/>
              <w:szCs w:val="18"/>
            </w:rPr>
            <w:t>GATS Form Version:</w:t>
          </w:r>
          <w:bookmarkEnd w:id="2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6" w:name="__DdeLink__945_3715140610121112"/>
          <w:r>
            <w:rPr>
              <w:sz w:val="18"/>
              <w:szCs w:val="18"/>
            </w:rPr>
            <w:t>GATS Form Version:</w:t>
          </w:r>
          <w:bookmarkEnd w:id="2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AMENDMENT INSTRUMENT (TRUST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rPr>
        <w:sz w:val="18"/>
        <w:b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decimal"/>
      <w:lvlText w:val="%1."/>
      <w:lvlJc w:val="left"/>
      <w:pPr>
        <w:ind w:left="720" w:hanging="360"/>
      </w:pPr>
      <w:rPr>
        <w:sz w:val="18"/>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widowControl w:val="false"/>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LibreOffice/6.4.3.2$MacOSX_X86_64 LibreOffice_project/747b5d0ebf89f41c860ec2a39efd7cb15b54f2d8</Application>
  <Pages>11</Pages>
  <Words>1689</Words>
  <Characters>9649</Characters>
  <CharactersWithSpaces>11117</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2020-10-05T08:18:08Z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#4814-5679-0657v4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